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07A57FE" w:rsidP="607A57FE" w:rsidRDefault="607A57FE" w14:paraId="7CB9E0A9" w14:textId="56356885">
      <w:pPr>
        <w:pStyle w:val="Heading1"/>
        <w:keepNext w:val="1"/>
        <w:keepLines w:val="1"/>
        <w:widowControl w:val="0"/>
        <w:numPr>
          <w:ilvl w:val="0"/>
          <w:numId w:val="0"/>
        </w:numPr>
        <w:tabs>
          <w:tab w:val="left" w:leader="none" w:pos="2279"/>
        </w:tabs>
        <w:spacing w:before="101" w:after="0" w:line="240" w:lineRule="auto"/>
        <w:ind w:left="120"/>
        <w:rPr>
          <w:rFonts w:ascii="Calibri Light" w:hAnsi="Calibri Light" w:eastAsia="Calibri Light" w:cs="Calibri Light"/>
          <w:b w:val="0"/>
          <w:bCs w:val="0"/>
          <w:i w:val="0"/>
          <w:iCs w:val="0"/>
          <w:caps w:val="0"/>
          <w:smallCaps w:val="0"/>
          <w:noProof w:val="0"/>
          <w:color w:val="2F5496" w:themeColor="accent1" w:themeTint="FF" w:themeShade="BF"/>
          <w:sz w:val="32"/>
          <w:szCs w:val="32"/>
          <w:lang w:val="en-US"/>
        </w:rPr>
      </w:pPr>
      <w:r w:rsidRPr="607A57FE" w:rsidR="607A57FE">
        <w:rPr>
          <w:rFonts w:ascii="Calibri Light" w:hAnsi="Calibri Light" w:eastAsia="Calibri Light" w:cs="Calibri Light"/>
          <w:b w:val="0"/>
          <w:bCs w:val="0"/>
          <w:i w:val="0"/>
          <w:iCs w:val="0"/>
          <w:caps w:val="0"/>
          <w:smallCaps w:val="0"/>
          <w:noProof w:val="0"/>
          <w:color w:val="2F5496" w:themeColor="accent1" w:themeTint="FF" w:themeShade="BF"/>
          <w:sz w:val="32"/>
          <w:szCs w:val="32"/>
          <w:lang w:val="en-US"/>
        </w:rPr>
        <w:t>Appendix E</w:t>
      </w:r>
      <w:r w:rsidRPr="607A57FE" w:rsidR="607A57FE">
        <w:rPr>
          <w:rFonts w:ascii="Arial" w:hAnsi="Arial" w:eastAsia="Arial" w:cs="Arial"/>
          <w:b w:val="0"/>
          <w:bCs w:val="0"/>
          <w:i w:val="0"/>
          <w:iCs w:val="0"/>
          <w:caps w:val="0"/>
          <w:smallCaps w:val="0"/>
          <w:noProof w:val="0"/>
          <w:color w:val="2F5496" w:themeColor="accent1" w:themeTint="FF" w:themeShade="BF"/>
          <w:sz w:val="32"/>
          <w:szCs w:val="32"/>
          <w:lang w:val="en-US"/>
        </w:rPr>
        <w:t xml:space="preserve"> </w:t>
      </w:r>
      <w:r>
        <w:tab/>
      </w:r>
      <w:r w:rsidRPr="607A57FE" w:rsidR="607A57FE">
        <w:rPr>
          <w:rFonts w:ascii="Calibri Light" w:hAnsi="Calibri Light" w:eastAsia="Calibri Light" w:cs="Calibri Light"/>
          <w:b w:val="0"/>
          <w:bCs w:val="0"/>
          <w:i w:val="0"/>
          <w:iCs w:val="0"/>
          <w:caps w:val="0"/>
          <w:smallCaps w:val="0"/>
          <w:noProof w:val="0"/>
          <w:color w:val="2F5496" w:themeColor="accent1" w:themeTint="FF" w:themeShade="BF"/>
          <w:sz w:val="32"/>
          <w:szCs w:val="32"/>
          <w:lang w:val="en-US"/>
        </w:rPr>
        <w:t>Power Purchase Agreement (PPA) Project Selection Policy</w:t>
      </w:r>
    </w:p>
    <w:p w:rsidR="607A57FE" w:rsidP="607A57FE" w:rsidRDefault="607A57FE" w14:paraId="5F3D6BC7" w14:textId="00F5B6F1">
      <w:pPr>
        <w:widowControl w:val="0"/>
        <w:spacing w:after="0" w:line="240" w:lineRule="auto"/>
        <w:rPr>
          <w:rFonts w:ascii="Times New Roman" w:hAnsi="Times New Roman" w:eastAsia="Times New Roman" w:cs="Times New Roman"/>
          <w:b w:val="0"/>
          <w:bCs w:val="0"/>
          <w:i w:val="0"/>
          <w:iCs w:val="0"/>
          <w:caps w:val="0"/>
          <w:smallCaps w:val="0"/>
          <w:noProof w:val="0"/>
          <w:color w:val="2F5496" w:themeColor="accent1" w:themeTint="FF" w:themeShade="BF"/>
          <w:sz w:val="24"/>
          <w:szCs w:val="24"/>
          <w:lang w:val="en-US"/>
        </w:rPr>
      </w:pPr>
    </w:p>
    <w:p w:rsidR="607A57FE" w:rsidP="607A57FE" w:rsidRDefault="607A57FE" w14:paraId="389C63BC" w14:textId="426C725F">
      <w:pPr>
        <w:pStyle w:val="Normal"/>
        <w:rPr>
          <w:rFonts w:ascii="Verdana" w:hAnsi="Verdana" w:cs="Calibri" w:cstheme="minorAscii"/>
          <w:b w:val="1"/>
          <w:bCs w:val="1"/>
          <w:color w:val="auto"/>
          <w:sz w:val="22"/>
          <w:szCs w:val="22"/>
        </w:rPr>
      </w:pPr>
      <w:bookmarkStart w:name="_Hlk190761620" w:id="0"/>
    </w:p>
    <w:p w:rsidRPr="002979DB" w:rsidR="00005638" w:rsidP="00005638" w:rsidRDefault="00005638" w14:paraId="252D1789" w14:textId="77777777">
      <w:pPr>
        <w:pStyle w:val="Heading1"/>
        <w:numPr>
          <w:ilvl w:val="0"/>
          <w:numId w:val="0"/>
        </w:numPr>
        <w:pBdr>
          <w:top w:val="single" w:color="auto" w:sz="4" w:space="1"/>
        </w:pBdr>
        <w:ind w:left="-720"/>
        <w:rPr>
          <w:rFonts w:ascii="Verdana" w:hAnsi="Verdana" w:cstheme="minorHAnsi"/>
          <w:b/>
          <w:bCs/>
          <w:caps/>
          <w:color w:val="auto"/>
          <w:sz w:val="22"/>
          <w:szCs w:val="22"/>
        </w:rPr>
      </w:pPr>
    </w:p>
    <w:p w:rsidRPr="002979DB" w:rsidR="00005638" w:rsidP="00005638" w:rsidRDefault="00005638" w14:paraId="7F3D2F8B" w14:textId="77777777">
      <w:pPr>
        <w:rPr>
          <w:rFonts w:ascii="Verdana" w:hAnsi="Verdana" w:cstheme="minorHAnsi"/>
          <w:sz w:val="24"/>
          <w:szCs w:val="24"/>
        </w:rPr>
      </w:pPr>
    </w:p>
    <w:p w:rsidRPr="002979DB" w:rsidR="00005638" w:rsidP="6B0BA50B" w:rsidRDefault="6B0BA50B" w14:paraId="6955E2C0" w14:textId="44158D4E">
      <w:pPr>
        <w:pStyle w:val="Heading1"/>
        <w:ind w:hanging="720"/>
        <w:rPr>
          <w:rFonts w:ascii="Verdana" w:hAnsi="Verdana" w:cstheme="minorBidi"/>
          <w:b/>
          <w:bCs/>
          <w:caps/>
          <w:color w:val="auto"/>
          <w:sz w:val="24"/>
          <w:szCs w:val="24"/>
        </w:rPr>
      </w:pPr>
      <w:r w:rsidRPr="6B0BA50B">
        <w:rPr>
          <w:rFonts w:ascii="Verdana" w:hAnsi="Verdana" w:cstheme="minorBidi"/>
          <w:b/>
          <w:bCs/>
          <w:caps/>
          <w:color w:val="auto"/>
          <w:sz w:val="24"/>
          <w:szCs w:val="24"/>
        </w:rPr>
        <w:t>Power Purchase Agreement (PPA) Project Selection Policy</w:t>
      </w:r>
    </w:p>
    <w:p w:rsidRPr="002979DB" w:rsidR="00005638" w:rsidP="6B0BA50B" w:rsidRDefault="462A643F" w14:paraId="65BF3280" w14:textId="70C90C8C">
      <w:pPr>
        <w:pStyle w:val="Heading2"/>
        <w:numPr>
          <w:ilvl w:val="0"/>
          <w:numId w:val="0"/>
        </w:numPr>
        <w:rPr>
          <w:rFonts w:ascii="Verdana" w:hAnsi="Verdana" w:cstheme="minorBidi"/>
          <w:color w:val="auto"/>
          <w:sz w:val="24"/>
          <w:szCs w:val="24"/>
        </w:rPr>
      </w:pPr>
      <w:r w:rsidRPr="462A643F">
        <w:rPr>
          <w:rFonts w:ascii="Verdana" w:hAnsi="Verdana" w:cstheme="minorBidi"/>
          <w:color w:val="auto"/>
          <w:sz w:val="24"/>
          <w:szCs w:val="24"/>
        </w:rPr>
        <w:t xml:space="preserve">The PPA Project Selection Policy (“Policy”) shall be applied as part of the process of acquiring energy and capacity resources for new build, or substantial repower projects involving construction labor, in front of the meter electricity generation, or storage resources where SVCE does not own, develop or construct the generation or storage facility.  Projects considered for PPAs will be evaluated based on </w:t>
      </w:r>
      <w:proofErr w:type="gramStart"/>
      <w:r w:rsidRPr="462A643F">
        <w:rPr>
          <w:rFonts w:ascii="Verdana" w:hAnsi="Verdana" w:cstheme="minorBidi"/>
          <w:color w:val="auto"/>
          <w:sz w:val="24"/>
          <w:szCs w:val="24"/>
        </w:rPr>
        <w:t>best</w:t>
      </w:r>
      <w:proofErr w:type="gramEnd"/>
      <w:r w:rsidRPr="462A643F">
        <w:rPr>
          <w:rFonts w:ascii="Verdana" w:hAnsi="Verdana" w:cstheme="minorBidi"/>
          <w:color w:val="auto"/>
          <w:sz w:val="24"/>
          <w:szCs w:val="24"/>
        </w:rPr>
        <w:t xml:space="preserve"> portfolio fit and value while considering regulatory mandates, reliability, risk mitigation, and other relevant factors including the following all else being equal goals:</w:t>
      </w:r>
    </w:p>
    <w:p w:rsidRPr="002979DB" w:rsidR="00984ED8" w:rsidP="00984ED8" w:rsidRDefault="00984ED8" w14:paraId="762CC035" w14:textId="77777777">
      <w:pPr>
        <w:rPr>
          <w:rFonts w:ascii="Verdana" w:hAnsi="Verdana"/>
        </w:rPr>
      </w:pPr>
    </w:p>
    <w:p w:rsidRPr="002979DB" w:rsidR="00005638" w:rsidP="1BCE92B3" w:rsidRDefault="3905111F" w14:paraId="7301569A" w14:textId="6389DB32">
      <w:pPr>
        <w:pStyle w:val="Heading2"/>
        <w:ind w:hanging="720"/>
        <w:rPr>
          <w:rFonts w:ascii="Verdana" w:hAnsi="Verdana" w:cstheme="minorBidi"/>
          <w:color w:val="auto"/>
          <w:sz w:val="24"/>
          <w:szCs w:val="24"/>
          <w:u w:val="single"/>
        </w:rPr>
      </w:pPr>
      <w:r w:rsidRPr="002979DB">
        <w:rPr>
          <w:rFonts w:ascii="Verdana" w:hAnsi="Verdana" w:cstheme="minorBidi"/>
          <w:color w:val="auto"/>
          <w:sz w:val="24"/>
          <w:szCs w:val="24"/>
          <w:u w:val="single"/>
        </w:rPr>
        <w:t xml:space="preserve">Contributions to SVCE’s </w:t>
      </w:r>
      <w:r w:rsidR="00B43DB3">
        <w:rPr>
          <w:rFonts w:ascii="Verdana" w:hAnsi="Verdana" w:cstheme="minorBidi"/>
          <w:color w:val="auto"/>
          <w:sz w:val="24"/>
          <w:szCs w:val="24"/>
          <w:u w:val="single"/>
        </w:rPr>
        <w:t>M</w:t>
      </w:r>
      <w:r w:rsidRPr="002979DB">
        <w:rPr>
          <w:rFonts w:ascii="Verdana" w:hAnsi="Verdana" w:cstheme="minorBidi"/>
          <w:color w:val="auto"/>
          <w:sz w:val="24"/>
          <w:szCs w:val="24"/>
          <w:u w:val="single"/>
        </w:rPr>
        <w:t xml:space="preserve">ission </w:t>
      </w:r>
    </w:p>
    <w:p w:rsidRPr="002979DB" w:rsidR="00005638" w:rsidP="7C6B30D2" w:rsidRDefault="7C6B30D2" w14:paraId="101F1DC2" w14:textId="4CBC16AB">
      <w:pPr>
        <w:pStyle w:val="Heading3"/>
        <w:ind w:hanging="720"/>
        <w:rPr>
          <w:rFonts w:ascii="Verdana" w:hAnsi="Verdana" w:cstheme="minorBidi"/>
          <w:color w:val="auto"/>
        </w:rPr>
      </w:pPr>
      <w:r w:rsidRPr="7C6B30D2">
        <w:rPr>
          <w:rFonts w:ascii="Verdana" w:hAnsi="Verdana" w:cstheme="minorBidi"/>
          <w:color w:val="auto"/>
        </w:rPr>
        <w:t xml:space="preserve">Assessment and evaluation of proposed projects to ensure SVCE </w:t>
      </w:r>
      <w:proofErr w:type="gramStart"/>
      <w:r w:rsidRPr="7C6B30D2">
        <w:rPr>
          <w:rFonts w:ascii="Verdana" w:hAnsi="Verdana" w:cstheme="minorBidi"/>
          <w:color w:val="auto"/>
        </w:rPr>
        <w:t>is able to</w:t>
      </w:r>
      <w:proofErr w:type="gramEnd"/>
      <w:r w:rsidRPr="7C6B30D2">
        <w:rPr>
          <w:rFonts w:ascii="Verdana" w:hAnsi="Verdana" w:cstheme="minorBidi"/>
          <w:color w:val="auto"/>
        </w:rPr>
        <w:t xml:space="preserve"> meet its mission of providing clean, reliable and affordable energy. </w:t>
      </w:r>
    </w:p>
    <w:p w:rsidRPr="002979DB" w:rsidR="00005638" w:rsidP="7C6B30D2" w:rsidRDefault="7C6B30D2" w14:paraId="156446B0" w14:textId="5DC03905">
      <w:pPr>
        <w:pStyle w:val="Heading3"/>
        <w:ind w:hanging="720"/>
        <w:rPr>
          <w:rFonts w:ascii="Verdana" w:hAnsi="Verdana" w:cstheme="minorBidi"/>
          <w:color w:val="auto"/>
        </w:rPr>
      </w:pPr>
      <w:r w:rsidRPr="7C6B30D2">
        <w:rPr>
          <w:rFonts w:ascii="Verdana" w:hAnsi="Verdana" w:cstheme="minorBidi"/>
          <w:color w:val="auto"/>
        </w:rPr>
        <w:t>Assessment and evaluation of proposed projects’ operational performance and market economics to ensure selected projects maximize Regulatory and Market Value to SVCE and its customers.</w:t>
      </w:r>
    </w:p>
    <w:p w:rsidRPr="002979DB" w:rsidR="00256AF5" w:rsidP="3DA05D29" w:rsidRDefault="3DA05D29" w14:paraId="6F5138BA" w14:textId="539869EE">
      <w:pPr>
        <w:pStyle w:val="Heading3"/>
        <w:ind w:hanging="720"/>
        <w:rPr>
          <w:rFonts w:ascii="Verdana" w:hAnsi="Verdana" w:cstheme="minorBidi"/>
          <w:color w:val="auto"/>
        </w:rPr>
      </w:pPr>
      <w:r w:rsidRPr="3DA05D29">
        <w:rPr>
          <w:rFonts w:ascii="Verdana" w:hAnsi="Verdana" w:cstheme="minorBidi"/>
          <w:color w:val="auto"/>
        </w:rPr>
        <w:t>Assessment and evaluation of projects to minimize risk to SVCE and its customers through effective location, Counterparty and technology diversification and management of Development Risk</w:t>
      </w:r>
    </w:p>
    <w:p w:rsidRPr="002979DB" w:rsidR="00FC534A" w:rsidP="00FC534A" w:rsidRDefault="00FC534A" w14:paraId="4FDE9F7F" w14:textId="77777777">
      <w:pPr>
        <w:rPr>
          <w:rFonts w:ascii="Verdana" w:hAnsi="Verdana"/>
        </w:rPr>
      </w:pPr>
    </w:p>
    <w:p w:rsidRPr="002979DB" w:rsidR="00005638" w:rsidP="7DD70556" w:rsidRDefault="3905111F" w14:paraId="02936B1B" w14:textId="52274C9A">
      <w:pPr>
        <w:pStyle w:val="Heading2"/>
        <w:ind w:hanging="720"/>
        <w:rPr>
          <w:rFonts w:ascii="Verdana" w:hAnsi="Verdana" w:cstheme="minorBidi"/>
          <w:color w:val="auto"/>
          <w:sz w:val="24"/>
          <w:szCs w:val="24"/>
          <w:u w:val="single"/>
        </w:rPr>
      </w:pPr>
      <w:r w:rsidRPr="002979DB">
        <w:rPr>
          <w:rFonts w:ascii="Verdana" w:hAnsi="Verdana" w:cstheme="minorBidi"/>
          <w:color w:val="auto"/>
          <w:sz w:val="24"/>
          <w:szCs w:val="24"/>
          <w:u w:val="single"/>
        </w:rPr>
        <w:t>Workforce Development</w:t>
      </w:r>
    </w:p>
    <w:p w:rsidRPr="002979DB" w:rsidR="00F45804" w:rsidP="3905111F" w:rsidRDefault="3905111F" w14:paraId="7B843CC7" w14:textId="77777777">
      <w:pPr>
        <w:ind w:left="720"/>
        <w:rPr>
          <w:rFonts w:ascii="Verdana" w:hAnsi="Verdana"/>
          <w:sz w:val="24"/>
          <w:szCs w:val="24"/>
        </w:rPr>
      </w:pPr>
      <w:r w:rsidRPr="002979DB">
        <w:rPr>
          <w:rFonts w:ascii="Verdana" w:hAnsi="Verdana"/>
          <w:sz w:val="24"/>
          <w:szCs w:val="24"/>
        </w:rPr>
        <w:t xml:space="preserve">SVCE is committed to stimulating its local economy through, among other measures, supporting projects committing to applying prevailing wage rates as required by law, and supporting a local Skilled and Trained Workforce with construction work performed by appropriate Journeypersons and Apprentices from a state-approved apprenticeship training program. </w:t>
      </w:r>
    </w:p>
    <w:p w:rsidRPr="002979DB" w:rsidR="00F45804" w:rsidP="00F45804" w:rsidRDefault="3905111F" w14:paraId="6A694E9B" w14:textId="1E9139F4">
      <w:pPr>
        <w:pStyle w:val="Heading3"/>
        <w:rPr>
          <w:rFonts w:ascii="Verdana" w:hAnsi="Verdana" w:cstheme="minorHAnsi"/>
          <w:color w:val="auto"/>
        </w:rPr>
      </w:pPr>
      <w:r w:rsidRPr="002979DB">
        <w:rPr>
          <w:rFonts w:ascii="Verdana" w:hAnsi="Verdana" w:cstheme="minorHAnsi"/>
          <w:color w:val="auto"/>
        </w:rPr>
        <w:lastRenderedPageBreak/>
        <w:t>SVCE will prioritize Power Purchase Agreements where</w:t>
      </w:r>
      <w:r w:rsidRPr="002979DB" w:rsidR="00661C56">
        <w:rPr>
          <w:rFonts w:ascii="Verdana" w:hAnsi="Verdana" w:cstheme="minorHAnsi"/>
          <w:color w:val="auto"/>
        </w:rPr>
        <w:t>:</w:t>
      </w:r>
    </w:p>
    <w:p w:rsidRPr="002979DB" w:rsidR="00F45804" w:rsidP="7A1DEC6E" w:rsidRDefault="7A1DEC6E" w14:paraId="5D267344" w14:textId="36EF43FA">
      <w:pPr>
        <w:pStyle w:val="Heading4"/>
        <w:rPr>
          <w:rFonts w:ascii="Verdana" w:hAnsi="Verdana" w:cstheme="minorBidi"/>
          <w:i w:val="0"/>
          <w:iCs w:val="0"/>
          <w:color w:val="auto"/>
          <w:sz w:val="24"/>
          <w:szCs w:val="24"/>
        </w:rPr>
      </w:pPr>
      <w:r w:rsidRPr="7A1DEC6E">
        <w:rPr>
          <w:rFonts w:ascii="Verdana" w:hAnsi="Verdana" w:cstheme="minorBidi"/>
          <w:i w:val="0"/>
          <w:iCs w:val="0"/>
          <w:color w:val="auto"/>
          <w:sz w:val="24"/>
          <w:szCs w:val="24"/>
        </w:rPr>
        <w:t xml:space="preserve">Highest priority projects will commit to a multi-trade project labor agreement with additional preference given to projects committing to </w:t>
      </w:r>
      <w:r w:rsidR="00B07C3D">
        <w:rPr>
          <w:rFonts w:ascii="Verdana" w:hAnsi="Verdana" w:cstheme="minorBidi"/>
          <w:i w:val="0"/>
          <w:iCs w:val="0"/>
          <w:color w:val="auto"/>
          <w:sz w:val="24"/>
          <w:szCs w:val="24"/>
        </w:rPr>
        <w:t xml:space="preserve">a target of </w:t>
      </w:r>
      <w:r w:rsidRPr="7A1DEC6E">
        <w:rPr>
          <w:rFonts w:ascii="Verdana" w:hAnsi="Verdana" w:cstheme="minorBidi"/>
          <w:i w:val="0"/>
          <w:iCs w:val="0"/>
          <w:color w:val="auto"/>
          <w:sz w:val="24"/>
          <w:szCs w:val="24"/>
        </w:rPr>
        <w:t xml:space="preserve">30% local hire and </w:t>
      </w:r>
      <w:r w:rsidR="00703E8C">
        <w:rPr>
          <w:rFonts w:ascii="Verdana" w:hAnsi="Verdana" w:cstheme="minorBidi"/>
          <w:i w:val="0"/>
          <w:iCs w:val="0"/>
          <w:color w:val="auto"/>
          <w:sz w:val="24"/>
          <w:szCs w:val="24"/>
        </w:rPr>
        <w:t xml:space="preserve">a target of </w:t>
      </w:r>
      <w:r w:rsidRPr="7A1DEC6E">
        <w:rPr>
          <w:rFonts w:ascii="Verdana" w:hAnsi="Verdana" w:cstheme="minorBidi"/>
          <w:i w:val="0"/>
          <w:iCs w:val="0"/>
          <w:color w:val="auto"/>
          <w:sz w:val="24"/>
          <w:szCs w:val="24"/>
        </w:rPr>
        <w:t>5% hiring from workforce pipeline programs.</w:t>
      </w:r>
    </w:p>
    <w:p w:rsidR="007F0B5F" w:rsidP="00F45804" w:rsidRDefault="00F45804" w14:paraId="074C05BC" w14:textId="77777777">
      <w:pPr>
        <w:pStyle w:val="Heading4"/>
        <w:rPr>
          <w:rFonts w:ascii="Verdana" w:hAnsi="Verdana" w:cstheme="minorHAnsi"/>
          <w:i w:val="0"/>
          <w:iCs w:val="0"/>
          <w:color w:val="auto"/>
          <w:sz w:val="24"/>
          <w:szCs w:val="24"/>
        </w:rPr>
      </w:pPr>
      <w:r w:rsidRPr="002979DB">
        <w:rPr>
          <w:rFonts w:ascii="Verdana" w:hAnsi="Verdana" w:cstheme="minorHAnsi"/>
          <w:i w:val="0"/>
          <w:iCs w:val="0"/>
          <w:color w:val="auto"/>
          <w:sz w:val="24"/>
          <w:szCs w:val="24"/>
        </w:rPr>
        <w:t>Medium priority projects will commit to</w:t>
      </w:r>
      <w:r w:rsidR="007F0B5F">
        <w:rPr>
          <w:rFonts w:ascii="Verdana" w:hAnsi="Verdana" w:cstheme="minorHAnsi"/>
          <w:i w:val="0"/>
          <w:iCs w:val="0"/>
          <w:color w:val="auto"/>
          <w:sz w:val="24"/>
          <w:szCs w:val="24"/>
        </w:rPr>
        <w:t>:</w:t>
      </w:r>
    </w:p>
    <w:p w:rsidR="007F0B5F" w:rsidP="713A279A" w:rsidRDefault="713A279A" w14:paraId="2BC8FA61" w14:textId="5481E5A2">
      <w:pPr>
        <w:pStyle w:val="Heading5"/>
        <w:rPr>
          <w:rFonts w:ascii="Verdana" w:hAnsi="Verdana" w:cstheme="minorBidi"/>
          <w:color w:val="auto"/>
          <w:sz w:val="24"/>
          <w:szCs w:val="24"/>
        </w:rPr>
      </w:pPr>
      <w:r w:rsidRPr="713A279A">
        <w:rPr>
          <w:rFonts w:ascii="Verdana" w:hAnsi="Verdana" w:cstheme="minorBidi"/>
          <w:color w:val="auto"/>
          <w:sz w:val="24"/>
          <w:szCs w:val="24"/>
        </w:rPr>
        <w:t>Using prevailing hourly wage and benefit rates as determined by the California Department of Industrial Relations for California projects and state or federal prevailing wage and benefit rates, whichever is higher, for out-of-state projects</w:t>
      </w:r>
      <w:r w:rsidR="00703E8C">
        <w:rPr>
          <w:rFonts w:ascii="Verdana" w:hAnsi="Verdana" w:cstheme="minorBidi"/>
          <w:color w:val="auto"/>
          <w:sz w:val="24"/>
          <w:szCs w:val="24"/>
        </w:rPr>
        <w:t>.</w:t>
      </w:r>
    </w:p>
    <w:p w:rsidRPr="007F0B5F" w:rsidR="007F0B5F" w:rsidP="713A279A" w:rsidRDefault="00703E8C" w14:paraId="7BD8F783" w14:textId="4A8389B7">
      <w:pPr>
        <w:pStyle w:val="Heading5"/>
        <w:rPr>
          <w:rFonts w:ascii="Verdana" w:hAnsi="Verdana" w:cstheme="minorBidi"/>
          <w:color w:val="auto"/>
          <w:sz w:val="24"/>
          <w:szCs w:val="24"/>
        </w:rPr>
      </w:pPr>
      <w:r>
        <w:rPr>
          <w:rFonts w:ascii="Verdana" w:hAnsi="Verdana" w:cstheme="minorBidi"/>
          <w:color w:val="auto"/>
          <w:sz w:val="24"/>
          <w:szCs w:val="24"/>
        </w:rPr>
        <w:t>Additional preference will be given to projects that use</w:t>
      </w:r>
      <w:r w:rsidRPr="713A279A" w:rsidR="713A279A">
        <w:rPr>
          <w:rFonts w:ascii="Verdana" w:hAnsi="Verdana" w:cstheme="minorBidi"/>
          <w:color w:val="auto"/>
          <w:sz w:val="24"/>
          <w:szCs w:val="24"/>
        </w:rPr>
        <w:t xml:space="preserve"> apprentices at the same ratio of apprentice hours to journeyperson hours as required for public works projects under Section 1777.5 of the California Labor Code.</w:t>
      </w:r>
    </w:p>
    <w:p w:rsidR="002979DB" w:rsidP="00182B6F" w:rsidRDefault="00F45804" w14:paraId="387B0E8B" w14:textId="77777777">
      <w:pPr>
        <w:pStyle w:val="Heading4"/>
        <w:rPr>
          <w:rFonts w:ascii="Verdana" w:hAnsi="Verdana" w:cstheme="minorHAnsi"/>
          <w:i w:val="0"/>
          <w:iCs w:val="0"/>
          <w:color w:val="auto"/>
          <w:sz w:val="24"/>
          <w:szCs w:val="24"/>
        </w:rPr>
      </w:pPr>
      <w:r w:rsidRPr="002979DB">
        <w:rPr>
          <w:rFonts w:ascii="Verdana" w:hAnsi="Verdana" w:cstheme="minorHAnsi"/>
          <w:i w:val="0"/>
          <w:iCs w:val="0"/>
          <w:color w:val="auto"/>
          <w:sz w:val="24"/>
          <w:szCs w:val="24"/>
        </w:rPr>
        <w:t>Low priority projects may demonstrate other commitments to local workforce development.</w:t>
      </w:r>
    </w:p>
    <w:p w:rsidRPr="00E96162" w:rsidR="00256AF5" w:rsidP="00E96162" w:rsidRDefault="00256AF5" w14:paraId="2B6924A6" w14:textId="5CCAE6B3">
      <w:pPr>
        <w:pStyle w:val="Heading4"/>
        <w:numPr>
          <w:ilvl w:val="0"/>
          <w:numId w:val="0"/>
        </w:numPr>
        <w:ind w:left="2160"/>
        <w:rPr>
          <w:rFonts w:ascii="Verdana" w:hAnsi="Verdana" w:cstheme="minorHAnsi"/>
          <w:i w:val="0"/>
          <w:iCs w:val="0"/>
          <w:color w:val="auto"/>
          <w:sz w:val="24"/>
          <w:szCs w:val="24"/>
        </w:rPr>
      </w:pPr>
    </w:p>
    <w:p w:rsidRPr="00E96162" w:rsidR="00005638" w:rsidP="00005638" w:rsidRDefault="3905111F" w14:paraId="228C2871" w14:textId="45995C6F">
      <w:pPr>
        <w:pStyle w:val="Heading2"/>
        <w:ind w:hanging="720"/>
        <w:rPr>
          <w:rFonts w:ascii="Verdana" w:hAnsi="Verdana" w:cstheme="minorHAnsi"/>
          <w:iCs/>
          <w:color w:val="auto"/>
          <w:sz w:val="24"/>
          <w:szCs w:val="24"/>
          <w:u w:val="single"/>
        </w:rPr>
      </w:pPr>
      <w:r w:rsidRPr="00E96162">
        <w:rPr>
          <w:rFonts w:ascii="Verdana" w:hAnsi="Verdana" w:cstheme="minorBidi"/>
          <w:color w:val="auto"/>
          <w:sz w:val="24"/>
          <w:szCs w:val="24"/>
          <w:u w:val="single"/>
        </w:rPr>
        <w:t>Technology Diversity</w:t>
      </w:r>
    </w:p>
    <w:p w:rsidRPr="00E96162" w:rsidR="00005638" w:rsidP="00005638" w:rsidRDefault="003C0DFE" w14:paraId="75F83025" w14:textId="038ED2DE">
      <w:pPr>
        <w:pStyle w:val="Heading2"/>
        <w:numPr>
          <w:ilvl w:val="0"/>
          <w:numId w:val="0"/>
        </w:numPr>
        <w:ind w:left="720"/>
        <w:rPr>
          <w:rFonts w:ascii="Verdana" w:hAnsi="Verdana" w:cstheme="minorHAnsi"/>
          <w:color w:val="auto"/>
          <w:sz w:val="24"/>
          <w:szCs w:val="24"/>
        </w:rPr>
      </w:pPr>
      <w:r w:rsidRPr="00E96162">
        <w:rPr>
          <w:rFonts w:ascii="Verdana" w:hAnsi="Verdana" w:cstheme="minorHAnsi"/>
          <w:color w:val="auto"/>
          <w:sz w:val="24"/>
          <w:szCs w:val="24"/>
        </w:rPr>
        <w:t xml:space="preserve">SVCE </w:t>
      </w:r>
      <w:r w:rsidRPr="00E96162" w:rsidR="00005638">
        <w:rPr>
          <w:rFonts w:ascii="Verdana" w:hAnsi="Verdana" w:cstheme="minorHAnsi"/>
          <w:color w:val="auto"/>
          <w:sz w:val="24"/>
          <w:szCs w:val="24"/>
        </w:rPr>
        <w:t>recognizes</w:t>
      </w:r>
      <w:r w:rsidRPr="00E96162" w:rsidR="00C25E46">
        <w:rPr>
          <w:rFonts w:ascii="Verdana" w:hAnsi="Verdana" w:cstheme="minorHAnsi"/>
          <w:color w:val="auto"/>
          <w:sz w:val="24"/>
          <w:szCs w:val="24"/>
        </w:rPr>
        <w:t xml:space="preserve"> the importance of diversifying technology in its portfolio to minimize risk.</w:t>
      </w:r>
      <w:r w:rsidRPr="00E96162" w:rsidR="00005638">
        <w:rPr>
          <w:rFonts w:ascii="Verdana" w:hAnsi="Verdana" w:cstheme="minorHAnsi"/>
          <w:color w:val="auto"/>
          <w:sz w:val="24"/>
          <w:szCs w:val="24"/>
        </w:rPr>
        <w:t xml:space="preserve"> </w:t>
      </w:r>
    </w:p>
    <w:p w:rsidRPr="00E96162" w:rsidR="00005638" w:rsidP="0064223C" w:rsidRDefault="3905111F" w14:paraId="64D0DA7A" w14:textId="0B2CBCE8">
      <w:pPr>
        <w:pStyle w:val="Heading3"/>
        <w:ind w:hanging="720"/>
        <w:rPr>
          <w:rFonts w:ascii="Verdana" w:hAnsi="Verdana" w:cstheme="minorHAnsi"/>
          <w:color w:val="auto"/>
        </w:rPr>
      </w:pPr>
      <w:r w:rsidRPr="00E96162">
        <w:rPr>
          <w:rFonts w:ascii="Verdana" w:hAnsi="Verdana" w:cstheme="minorBidi"/>
          <w:color w:val="auto"/>
        </w:rPr>
        <w:t>All else being equal, SVCE will prioritize projects that will diversify technologies in its current portfolio</w:t>
      </w:r>
      <w:r w:rsidRPr="00E96162" w:rsidR="00F45804">
        <w:rPr>
          <w:rFonts w:ascii="Verdana" w:hAnsi="Verdana" w:cstheme="minorBidi"/>
          <w:color w:val="auto"/>
        </w:rPr>
        <w:t>, provide local reliability, provide SVCE a competitive advantage, and/or reduce costs for SVCE customers while remaining cost competitive with established market alternatives.</w:t>
      </w:r>
    </w:p>
    <w:p w:rsidRPr="00E96162" w:rsidR="00005638" w:rsidP="00005638" w:rsidRDefault="00005638" w14:paraId="3B5A622C" w14:textId="77777777">
      <w:pPr>
        <w:ind w:hanging="720"/>
        <w:rPr>
          <w:rFonts w:ascii="Verdana" w:hAnsi="Verdana" w:cstheme="minorHAnsi"/>
          <w:sz w:val="24"/>
          <w:szCs w:val="24"/>
        </w:rPr>
      </w:pPr>
    </w:p>
    <w:p w:rsidRPr="00E96162" w:rsidR="00005638" w:rsidP="00005638" w:rsidRDefault="3905111F" w14:paraId="15750263" w14:textId="77777777">
      <w:pPr>
        <w:pStyle w:val="Heading2"/>
        <w:ind w:hanging="720"/>
        <w:rPr>
          <w:rFonts w:ascii="Verdana" w:hAnsi="Verdana" w:cstheme="minorHAnsi"/>
          <w:color w:val="auto"/>
          <w:sz w:val="24"/>
          <w:szCs w:val="24"/>
          <w:u w:val="single"/>
        </w:rPr>
      </w:pPr>
      <w:r w:rsidRPr="00E96162">
        <w:rPr>
          <w:rFonts w:ascii="Verdana" w:hAnsi="Verdana" w:cstheme="minorBidi"/>
          <w:color w:val="auto"/>
          <w:sz w:val="24"/>
          <w:szCs w:val="24"/>
          <w:u w:val="single"/>
        </w:rPr>
        <w:t>Location</w:t>
      </w:r>
    </w:p>
    <w:p w:rsidRPr="00E96162" w:rsidR="0029289B" w:rsidP="3905111F" w:rsidRDefault="3905111F" w14:paraId="0B46AF5F" w14:textId="4F623BE9">
      <w:pPr>
        <w:pStyle w:val="Heading2"/>
        <w:numPr>
          <w:ilvl w:val="1"/>
          <w:numId w:val="0"/>
        </w:numPr>
        <w:ind w:left="720"/>
        <w:rPr>
          <w:rFonts w:ascii="Verdana" w:hAnsi="Verdana" w:cstheme="minorBidi"/>
          <w:color w:val="auto"/>
          <w:sz w:val="24"/>
          <w:szCs w:val="24"/>
        </w:rPr>
      </w:pPr>
      <w:r w:rsidRPr="00E96162">
        <w:rPr>
          <w:rFonts w:ascii="Verdana" w:hAnsi="Verdana" w:cstheme="minorBidi"/>
          <w:color w:val="auto"/>
          <w:sz w:val="24"/>
          <w:szCs w:val="24"/>
        </w:rPr>
        <w:t>SVCE prioritizes projects within the California Independent System Operator (CAISO) and/or certified deliverability to the CAISO in accordance with the following:</w:t>
      </w:r>
    </w:p>
    <w:p w:rsidRPr="00E96162" w:rsidR="0029289B" w:rsidP="00E96162" w:rsidRDefault="3905111F" w14:paraId="3BDD55D6" w14:textId="61A3BE30">
      <w:pPr>
        <w:pStyle w:val="Heading3"/>
        <w:ind w:hanging="720"/>
        <w:rPr>
          <w:rFonts w:ascii="Verdana" w:hAnsi="Verdana" w:cstheme="minorBidi"/>
          <w:color w:val="auto"/>
        </w:rPr>
      </w:pPr>
      <w:r w:rsidRPr="00E96162">
        <w:rPr>
          <w:rFonts w:ascii="Verdana" w:hAnsi="Verdana" w:cstheme="minorBidi"/>
          <w:color w:val="auto"/>
        </w:rPr>
        <w:t>Projects within SVCE’s service territory.</w:t>
      </w:r>
    </w:p>
    <w:p w:rsidRPr="00E96162" w:rsidR="00C25E46" w:rsidP="00E96162" w:rsidRDefault="3905111F" w14:paraId="0140DA9D" w14:textId="4E57CC99">
      <w:pPr>
        <w:pStyle w:val="Heading3"/>
        <w:ind w:hanging="720"/>
        <w:rPr>
          <w:rFonts w:ascii="Verdana" w:hAnsi="Verdana" w:cstheme="minorBidi"/>
          <w:color w:val="auto"/>
        </w:rPr>
      </w:pPr>
      <w:r w:rsidRPr="00E96162">
        <w:rPr>
          <w:rFonts w:ascii="Verdana" w:hAnsi="Verdana" w:cstheme="minorBidi"/>
          <w:color w:val="auto"/>
        </w:rPr>
        <w:t xml:space="preserve">Projects </w:t>
      </w:r>
      <w:r w:rsidRPr="00E96162" w:rsidR="00F45804">
        <w:rPr>
          <w:rFonts w:ascii="Verdana" w:hAnsi="Verdana" w:cstheme="minorBidi"/>
          <w:color w:val="auto"/>
        </w:rPr>
        <w:t xml:space="preserve">within </w:t>
      </w:r>
      <w:r w:rsidRPr="00E96162" w:rsidR="00661C56">
        <w:rPr>
          <w:rFonts w:ascii="Verdana" w:hAnsi="Verdana" w:cstheme="minorBidi"/>
          <w:color w:val="auto"/>
        </w:rPr>
        <w:t xml:space="preserve">the </w:t>
      </w:r>
      <w:r w:rsidRPr="00E96162" w:rsidR="00F45804">
        <w:rPr>
          <w:rFonts w:ascii="Verdana" w:hAnsi="Verdana" w:cstheme="minorBidi"/>
          <w:color w:val="auto"/>
        </w:rPr>
        <w:t>CAISO balancing authority.</w:t>
      </w:r>
    </w:p>
    <w:p w:rsidRPr="00E96162" w:rsidR="0029289B" w:rsidP="00E96162" w:rsidRDefault="3905111F" w14:paraId="05BF273C" w14:textId="0A37E9F9">
      <w:pPr>
        <w:pStyle w:val="Heading3"/>
        <w:ind w:hanging="720"/>
        <w:rPr>
          <w:rFonts w:ascii="Verdana" w:hAnsi="Verdana" w:cstheme="minorBidi"/>
          <w:color w:val="auto"/>
        </w:rPr>
      </w:pPr>
      <w:r w:rsidRPr="00E96162">
        <w:rPr>
          <w:rFonts w:ascii="Verdana" w:hAnsi="Verdana" w:cstheme="minorBidi"/>
          <w:color w:val="auto"/>
        </w:rPr>
        <w:t xml:space="preserve">Projects </w:t>
      </w:r>
      <w:r w:rsidRPr="00E96162" w:rsidR="00F45804">
        <w:rPr>
          <w:rFonts w:ascii="Verdana" w:hAnsi="Verdana" w:cstheme="minorBidi"/>
          <w:color w:val="auto"/>
        </w:rPr>
        <w:t>with the ability to interconnect with the CAISO balancing authority</w:t>
      </w:r>
      <w:r w:rsidRPr="00E96162">
        <w:rPr>
          <w:rFonts w:ascii="Verdana" w:hAnsi="Verdana" w:cstheme="minorBidi"/>
          <w:color w:val="auto"/>
        </w:rPr>
        <w:t>.</w:t>
      </w:r>
    </w:p>
    <w:p w:rsidRPr="00E96162" w:rsidR="0029289B" w:rsidP="00E96162" w:rsidRDefault="00F45804" w14:paraId="49A7832F" w14:textId="64E69650">
      <w:pPr>
        <w:pStyle w:val="Heading3"/>
        <w:ind w:hanging="720"/>
        <w:rPr>
          <w:rFonts w:ascii="Verdana" w:hAnsi="Verdana" w:cstheme="minorBidi"/>
          <w:color w:val="auto"/>
        </w:rPr>
      </w:pPr>
      <w:r w:rsidRPr="00E96162">
        <w:rPr>
          <w:rFonts w:ascii="Verdana" w:hAnsi="Verdana" w:cstheme="minorBidi"/>
          <w:color w:val="auto"/>
        </w:rPr>
        <w:t>All other projects.</w:t>
      </w:r>
    </w:p>
    <w:p w:rsidRPr="00E96162" w:rsidR="00005638" w:rsidP="00256AF5" w:rsidRDefault="00005638" w14:paraId="12450C64" w14:textId="77777777">
      <w:pPr>
        <w:rPr>
          <w:rFonts w:ascii="Verdana" w:hAnsi="Verdana" w:cstheme="minorHAnsi"/>
          <w:sz w:val="24"/>
          <w:szCs w:val="24"/>
        </w:rPr>
      </w:pPr>
    </w:p>
    <w:p w:rsidRPr="00E96162" w:rsidR="00005638" w:rsidP="002979DB" w:rsidRDefault="3905111F" w14:paraId="7DF92666" w14:textId="77777777">
      <w:pPr>
        <w:pStyle w:val="Heading2"/>
        <w:ind w:hanging="720"/>
        <w:rPr>
          <w:rFonts w:ascii="Verdana" w:hAnsi="Verdana" w:cstheme="minorBidi"/>
          <w:color w:val="auto"/>
          <w:sz w:val="24"/>
          <w:szCs w:val="24"/>
          <w:u w:val="single"/>
        </w:rPr>
      </w:pPr>
      <w:r w:rsidRPr="00E96162">
        <w:rPr>
          <w:rFonts w:ascii="Verdana" w:hAnsi="Verdana" w:cstheme="minorBidi"/>
          <w:color w:val="auto"/>
          <w:sz w:val="24"/>
          <w:szCs w:val="24"/>
          <w:u w:val="single"/>
        </w:rPr>
        <w:lastRenderedPageBreak/>
        <w:t>Environmental Stewardship</w:t>
      </w:r>
    </w:p>
    <w:p w:rsidRPr="00E96162" w:rsidR="00005638" w:rsidP="11DC0BF1" w:rsidRDefault="11DC0BF1" w14:paraId="5A432199" w14:textId="6E3472F8">
      <w:pPr>
        <w:pStyle w:val="Heading2"/>
        <w:numPr>
          <w:ilvl w:val="0"/>
          <w:numId w:val="0"/>
        </w:numPr>
        <w:ind w:left="720"/>
        <w:rPr>
          <w:rFonts w:ascii="Verdana" w:hAnsi="Verdana" w:cstheme="minorBidi"/>
          <w:color w:val="auto"/>
          <w:sz w:val="24"/>
          <w:szCs w:val="24"/>
        </w:rPr>
      </w:pPr>
      <w:r w:rsidRPr="11DC0BF1">
        <w:rPr>
          <w:rFonts w:ascii="Verdana" w:hAnsi="Verdana" w:cstheme="minorBidi"/>
          <w:color w:val="auto"/>
          <w:sz w:val="24"/>
          <w:szCs w:val="24"/>
        </w:rPr>
        <w:t>SVCE is committed to leading by providing customers with energy that delivers benefits for air, water, and the natural environment while avoiding impacts to important lands, species, and waters. Without diminishing or interfering with permitting, land use or development requirements of any authority with jurisdiction including local, state, and federal agencies, SVCE prioritizes projects:</w:t>
      </w:r>
    </w:p>
    <w:p w:rsidRPr="00E96162" w:rsidR="00005638" w:rsidP="00E96162" w:rsidRDefault="00F45804" w14:paraId="52E37E7A" w14:textId="075D7E92">
      <w:pPr>
        <w:pStyle w:val="Heading3"/>
        <w:ind w:hanging="720"/>
        <w:rPr>
          <w:rFonts w:ascii="Verdana" w:hAnsi="Verdana" w:cstheme="minorBidi"/>
          <w:color w:val="auto"/>
        </w:rPr>
      </w:pPr>
      <w:r w:rsidRPr="00E96162">
        <w:rPr>
          <w:rFonts w:ascii="Verdana" w:hAnsi="Verdana" w:cstheme="minorBidi"/>
          <w:color w:val="auto"/>
        </w:rPr>
        <w:t>That are proposed on urban or previously disturbed sites</w:t>
      </w:r>
      <w:r w:rsidRPr="00E96162" w:rsidR="00005638">
        <w:rPr>
          <w:rFonts w:ascii="Verdana" w:hAnsi="Verdana" w:cstheme="minorBidi"/>
          <w:color w:val="auto"/>
        </w:rPr>
        <w:t>;</w:t>
      </w:r>
      <w:r w:rsidRPr="00E96162" w:rsidR="00557AA3">
        <w:rPr>
          <w:rFonts w:ascii="Verdana" w:hAnsi="Verdana" w:cstheme="minorBidi"/>
          <w:color w:val="auto"/>
        </w:rPr>
        <w:t xml:space="preserve"> and</w:t>
      </w:r>
    </w:p>
    <w:p w:rsidRPr="00E96162" w:rsidR="00005638" w:rsidP="00E96162" w:rsidRDefault="00FC534A" w14:paraId="5129DDB7" w14:textId="2DA28632">
      <w:pPr>
        <w:pStyle w:val="Heading3"/>
        <w:ind w:hanging="720"/>
        <w:rPr>
          <w:rFonts w:ascii="Verdana" w:hAnsi="Verdana" w:cstheme="minorBidi"/>
          <w:color w:val="auto"/>
        </w:rPr>
      </w:pPr>
      <w:r w:rsidRPr="00E96162">
        <w:rPr>
          <w:rFonts w:ascii="Verdana" w:hAnsi="Verdana" w:cstheme="minorBidi"/>
          <w:color w:val="auto"/>
        </w:rPr>
        <w:t>Where t</w:t>
      </w:r>
      <w:r w:rsidRPr="00E96162" w:rsidR="00005638">
        <w:rPr>
          <w:rFonts w:ascii="Verdana" w:hAnsi="Verdana" w:cstheme="minorBidi"/>
          <w:color w:val="auto"/>
        </w:rPr>
        <w:t>he developer and local land use authority have established an enforceable development agreement which, in part, sets forth measures to mitigate impacts to sensitive habitats or environmentally sensitive areas</w:t>
      </w:r>
      <w:r w:rsidRPr="00E96162" w:rsidR="00557AA3">
        <w:rPr>
          <w:rFonts w:ascii="Verdana" w:hAnsi="Verdana" w:cstheme="minorBidi"/>
          <w:color w:val="auto"/>
        </w:rPr>
        <w:t>.</w:t>
      </w:r>
    </w:p>
    <w:p w:rsidRPr="00E96162" w:rsidR="00011FF2" w:rsidP="00011FF2" w:rsidRDefault="00011FF2" w14:paraId="08B5E356" w14:textId="12D095F0">
      <w:pPr>
        <w:rPr>
          <w:rFonts w:ascii="Verdana" w:hAnsi="Verdana"/>
        </w:rPr>
      </w:pPr>
    </w:p>
    <w:p w:rsidRPr="00E96162" w:rsidR="00011FF2" w:rsidP="00E96162" w:rsidRDefault="00F117AE" w14:paraId="2B9BAD86" w14:textId="1A9C4386">
      <w:pPr>
        <w:pStyle w:val="Heading2"/>
        <w:ind w:left="288" w:hanging="720"/>
        <w:rPr>
          <w:rFonts w:ascii="Verdana" w:hAnsi="Verdana" w:cstheme="minorBidi"/>
          <w:color w:val="auto"/>
          <w:sz w:val="24"/>
          <w:szCs w:val="24"/>
          <w:u w:val="single"/>
        </w:rPr>
      </w:pPr>
      <w:r>
        <w:rPr>
          <w:rFonts w:ascii="Verdana" w:hAnsi="Verdana" w:cstheme="minorBidi"/>
          <w:color w:val="auto"/>
          <w:sz w:val="24"/>
          <w:szCs w:val="24"/>
          <w:u w:val="single"/>
        </w:rPr>
        <w:t>Community Engagement</w:t>
      </w:r>
    </w:p>
    <w:p w:rsidRPr="002979DB" w:rsidR="00011FF2" w:rsidP="00182B6F" w:rsidRDefault="00011FF2" w14:paraId="4C35A522" w14:textId="7F5369C3">
      <w:pPr>
        <w:ind w:firstLine="720"/>
        <w:rPr>
          <w:rFonts w:ascii="Verdana" w:hAnsi="Verdana" w:eastAsiaTheme="majorEastAsia"/>
          <w:sz w:val="24"/>
          <w:szCs w:val="24"/>
        </w:rPr>
      </w:pPr>
      <w:r w:rsidRPr="002979DB">
        <w:rPr>
          <w:rFonts w:ascii="Verdana" w:hAnsi="Verdana" w:eastAsiaTheme="majorEastAsia"/>
          <w:sz w:val="24"/>
          <w:szCs w:val="24"/>
        </w:rPr>
        <w:t>SVCE will prioritize projects that:</w:t>
      </w:r>
    </w:p>
    <w:p w:rsidRPr="00E96162" w:rsidR="00011FF2" w:rsidP="00E96162" w:rsidRDefault="00011FF2" w14:paraId="0627D84E" w14:textId="5801B737">
      <w:pPr>
        <w:pStyle w:val="Heading3"/>
        <w:ind w:hanging="720"/>
        <w:rPr>
          <w:rFonts w:ascii="Verdana" w:hAnsi="Verdana" w:cstheme="minorBidi"/>
          <w:color w:val="auto"/>
        </w:rPr>
      </w:pPr>
      <w:r w:rsidRPr="00E96162">
        <w:rPr>
          <w:rFonts w:ascii="Verdana" w:hAnsi="Verdana" w:cstheme="minorBidi"/>
          <w:color w:val="auto"/>
        </w:rPr>
        <w:t xml:space="preserve">Demonstrate contact and collaboration with the local community </w:t>
      </w:r>
      <w:r w:rsidRPr="00E96162" w:rsidR="00661C56">
        <w:rPr>
          <w:rFonts w:ascii="Verdana" w:hAnsi="Verdana" w:cstheme="minorBidi"/>
          <w:color w:val="auto"/>
        </w:rPr>
        <w:t>organizations</w:t>
      </w:r>
      <w:r w:rsidRPr="00E96162">
        <w:rPr>
          <w:rFonts w:ascii="Verdana" w:hAnsi="Verdana" w:cstheme="minorBidi"/>
          <w:color w:val="auto"/>
        </w:rPr>
        <w:t xml:space="preserve"> and stakeholder groups representing a broad diversity of demographics and interests, particularly low income and environmental justice communities, to identify and address benefits and impacts of </w:t>
      </w:r>
      <w:r w:rsidRPr="00E96162" w:rsidR="00661C56">
        <w:rPr>
          <w:rFonts w:ascii="Verdana" w:hAnsi="Verdana" w:cstheme="minorBidi"/>
          <w:color w:val="auto"/>
        </w:rPr>
        <w:t>projects</w:t>
      </w:r>
      <w:r w:rsidRPr="00E96162">
        <w:rPr>
          <w:rFonts w:ascii="Verdana" w:hAnsi="Verdana" w:cstheme="minorBidi"/>
          <w:color w:val="auto"/>
        </w:rPr>
        <w:t xml:space="preserve"> and ensure project benefits are communicated and accessible to the local community.</w:t>
      </w:r>
    </w:p>
    <w:p w:rsidRPr="00E96162" w:rsidR="00011FF2" w:rsidP="00E96162" w:rsidRDefault="00011FF2" w14:paraId="4EBE7576" w14:textId="45B85420">
      <w:pPr>
        <w:pStyle w:val="Heading3"/>
        <w:ind w:hanging="720"/>
        <w:rPr>
          <w:rFonts w:ascii="Verdana" w:hAnsi="Verdana" w:cstheme="minorBidi"/>
          <w:color w:val="auto"/>
        </w:rPr>
      </w:pPr>
      <w:r w:rsidRPr="00E96162">
        <w:rPr>
          <w:rFonts w:ascii="Verdana" w:hAnsi="Verdana" w:cstheme="minorBidi"/>
          <w:color w:val="auto"/>
        </w:rPr>
        <w:t>Commit to meaningful engagement with local communities throughout the entitlement and construction processes to identify and address benefits and impacts of projects and ensure project benefits are communicated and accessible to the local community.</w:t>
      </w:r>
      <w:r w:rsidR="00D61767">
        <w:rPr>
          <w:rFonts w:ascii="Verdana" w:hAnsi="Verdana" w:cstheme="minorBidi"/>
          <w:color w:val="auto"/>
        </w:rPr>
        <w:br/>
      </w:r>
    </w:p>
    <w:p w:rsidRPr="002979DB" w:rsidR="001312EB" w:rsidP="001312EB" w:rsidRDefault="001312EB" w14:paraId="7B093720" w14:textId="45BEDA8E">
      <w:pPr>
        <w:rPr>
          <w:rFonts w:ascii="Verdana" w:hAnsi="Verdana"/>
          <w:sz w:val="24"/>
          <w:szCs w:val="24"/>
        </w:rPr>
      </w:pPr>
      <w:r w:rsidRPr="002979DB">
        <w:rPr>
          <w:rFonts w:ascii="Verdana" w:hAnsi="Verdana"/>
          <w:sz w:val="24"/>
          <w:szCs w:val="24"/>
        </w:rPr>
        <w:t>G.</w:t>
      </w:r>
      <w:r w:rsidRPr="002979DB">
        <w:rPr>
          <w:rFonts w:ascii="Verdana" w:hAnsi="Verdana"/>
          <w:sz w:val="24"/>
          <w:szCs w:val="24"/>
        </w:rPr>
        <w:tab/>
      </w:r>
      <w:r w:rsidRPr="00D61767" w:rsidR="00F117AE">
        <w:rPr>
          <w:rFonts w:ascii="Verdana" w:hAnsi="Verdana"/>
          <w:sz w:val="24"/>
          <w:szCs w:val="24"/>
          <w:u w:val="single"/>
        </w:rPr>
        <w:t>Greenhouse Gas Emissions Impact</w:t>
      </w:r>
    </w:p>
    <w:p w:rsidRPr="002979DB" w:rsidR="001312EB" w:rsidP="00182B6F" w:rsidRDefault="001312EB" w14:paraId="2D0841E2" w14:textId="0417C79D">
      <w:pPr>
        <w:rPr>
          <w:rFonts w:ascii="Verdana" w:hAnsi="Verdana"/>
          <w:sz w:val="24"/>
          <w:szCs w:val="24"/>
        </w:rPr>
      </w:pPr>
      <w:r w:rsidRPr="002979DB">
        <w:rPr>
          <w:rFonts w:ascii="Verdana" w:hAnsi="Verdana"/>
          <w:sz w:val="24"/>
          <w:szCs w:val="24"/>
        </w:rPr>
        <w:t xml:space="preserve">SVCE will evaluate greenhouse gas emissions of project proposals and prioritize projects that minimize emissions </w:t>
      </w:r>
      <w:r w:rsidRPr="002979DB" w:rsidR="00F33757">
        <w:rPr>
          <w:rFonts w:ascii="Verdana" w:hAnsi="Verdana"/>
          <w:sz w:val="24"/>
          <w:szCs w:val="24"/>
        </w:rPr>
        <w:t>on the grid and SVCE’s portfolio</w:t>
      </w:r>
      <w:r w:rsidRPr="002979DB">
        <w:rPr>
          <w:rFonts w:ascii="Verdana" w:hAnsi="Verdana"/>
          <w:sz w:val="24"/>
          <w:szCs w:val="24"/>
        </w:rPr>
        <w:t>.</w:t>
      </w:r>
    </w:p>
    <w:p w:rsidRPr="002979DB" w:rsidR="00005638" w:rsidP="00005638" w:rsidRDefault="00005638" w14:paraId="64C1C80A" w14:textId="77777777">
      <w:pPr>
        <w:ind w:hanging="720"/>
        <w:rPr>
          <w:rFonts w:ascii="Verdana" w:hAnsi="Verdana" w:cstheme="minorHAnsi"/>
          <w:sz w:val="24"/>
          <w:szCs w:val="24"/>
        </w:rPr>
      </w:pPr>
    </w:p>
    <w:p w:rsidRPr="002979DB" w:rsidR="00005638" w:rsidP="00005638" w:rsidRDefault="00005638" w14:paraId="7AABD353" w14:textId="3B7DD90B">
      <w:pPr>
        <w:pStyle w:val="Heading1"/>
        <w:ind w:hanging="720"/>
        <w:rPr>
          <w:rFonts w:ascii="Verdana" w:hAnsi="Verdana" w:cstheme="minorHAnsi"/>
          <w:b/>
          <w:bCs/>
          <w:caps/>
          <w:color w:val="auto"/>
          <w:sz w:val="24"/>
          <w:szCs w:val="24"/>
        </w:rPr>
      </w:pPr>
      <w:r w:rsidRPr="002979DB">
        <w:rPr>
          <w:rFonts w:ascii="Verdana" w:hAnsi="Verdana" w:cstheme="minorHAnsi"/>
          <w:b/>
          <w:bCs/>
          <w:caps/>
          <w:color w:val="auto"/>
          <w:sz w:val="24"/>
          <w:szCs w:val="24"/>
        </w:rPr>
        <w:lastRenderedPageBreak/>
        <w:t>Reporting</w:t>
      </w:r>
      <w:r w:rsidR="00D61767">
        <w:rPr>
          <w:rFonts w:ascii="Verdana" w:hAnsi="Verdana" w:cstheme="minorHAnsi"/>
          <w:b/>
          <w:bCs/>
          <w:caps/>
          <w:color w:val="auto"/>
          <w:sz w:val="24"/>
          <w:szCs w:val="24"/>
        </w:rPr>
        <w:t xml:space="preserve"> AND CALIFORNIA COMMUNITY POWER</w:t>
      </w:r>
    </w:p>
    <w:p w:rsidRPr="005009EC" w:rsidR="00D61767" w:rsidP="3905111F" w:rsidRDefault="00D61767" w14:paraId="1717F27C" w14:textId="77777777">
      <w:pPr>
        <w:pStyle w:val="Heading2"/>
        <w:ind w:hanging="720"/>
        <w:rPr>
          <w:rFonts w:ascii="Verdana" w:hAnsi="Verdana" w:cstheme="minorBidi"/>
          <w:color w:val="auto"/>
          <w:sz w:val="24"/>
          <w:szCs w:val="24"/>
          <w:u w:val="single"/>
        </w:rPr>
      </w:pPr>
      <w:r w:rsidRPr="005009EC">
        <w:rPr>
          <w:rFonts w:ascii="Verdana" w:hAnsi="Verdana" w:cstheme="minorBidi"/>
          <w:color w:val="auto"/>
          <w:sz w:val="24"/>
          <w:szCs w:val="24"/>
          <w:u w:val="single"/>
        </w:rPr>
        <w:t>Reporting</w:t>
      </w:r>
    </w:p>
    <w:p w:rsidRPr="002979DB" w:rsidR="00005638" w:rsidP="462A643F" w:rsidRDefault="462A643F" w14:paraId="2CD71A0E" w14:textId="1924ABB3">
      <w:pPr>
        <w:pStyle w:val="Heading2"/>
        <w:numPr>
          <w:ilvl w:val="0"/>
          <w:numId w:val="0"/>
        </w:numPr>
        <w:rPr>
          <w:rFonts w:ascii="Verdana" w:hAnsi="Verdana" w:cstheme="minorBidi"/>
          <w:color w:val="auto"/>
          <w:sz w:val="24"/>
          <w:szCs w:val="24"/>
        </w:rPr>
      </w:pPr>
      <w:r w:rsidRPr="462A643F">
        <w:rPr>
          <w:rFonts w:ascii="Verdana" w:hAnsi="Verdana" w:cstheme="minorBidi"/>
          <w:color w:val="auto"/>
          <w:sz w:val="24"/>
          <w:szCs w:val="24"/>
        </w:rPr>
        <w:t>SVCE will assess project proposals in accordance with this Project Selection Policy and report to the SVCE Board of Directors the results of such assessment at the time of the project approval. SVCE will compile and report data and metrics, as appropriate, through the annual GO 156 Supplier Diversity report.</w:t>
      </w:r>
    </w:p>
    <w:p w:rsidRPr="002979DB" w:rsidR="00011FF2" w:rsidP="00011FF2" w:rsidRDefault="00011FF2" w14:paraId="3F0DF2CA" w14:textId="77777777">
      <w:pPr>
        <w:rPr>
          <w:rFonts w:ascii="Verdana" w:hAnsi="Verdana" w:eastAsiaTheme="majorEastAsia"/>
          <w:sz w:val="24"/>
          <w:szCs w:val="24"/>
        </w:rPr>
      </w:pPr>
    </w:p>
    <w:p w:rsidRPr="005009EC" w:rsidR="00011FF2" w:rsidP="00E96162" w:rsidRDefault="00F117AE" w14:paraId="4BA5FB6B" w14:textId="565ABE64">
      <w:pPr>
        <w:pStyle w:val="Heading2"/>
        <w:ind w:hanging="720"/>
        <w:rPr>
          <w:rFonts w:ascii="Verdana" w:hAnsi="Verdana" w:cstheme="minorBidi"/>
          <w:color w:val="auto"/>
          <w:sz w:val="24"/>
          <w:szCs w:val="24"/>
          <w:u w:val="single"/>
        </w:rPr>
      </w:pPr>
      <w:r w:rsidRPr="005009EC">
        <w:rPr>
          <w:rFonts w:ascii="Verdana" w:hAnsi="Verdana" w:cstheme="minorBidi"/>
          <w:color w:val="auto"/>
          <w:sz w:val="24"/>
          <w:szCs w:val="24"/>
          <w:u w:val="single"/>
        </w:rPr>
        <w:t>California Community Power</w:t>
      </w:r>
    </w:p>
    <w:p w:rsidRPr="00E96162" w:rsidR="00011FF2" w:rsidP="462A643F" w:rsidRDefault="462A643F" w14:paraId="0CF4F0DE" w14:textId="2EDBBC82">
      <w:pPr>
        <w:pStyle w:val="Heading2"/>
        <w:numPr>
          <w:ilvl w:val="0"/>
          <w:numId w:val="0"/>
        </w:numPr>
        <w:rPr>
          <w:rFonts w:ascii="Verdana" w:hAnsi="Verdana" w:cstheme="minorBidi"/>
          <w:color w:val="auto"/>
          <w:sz w:val="24"/>
          <w:szCs w:val="24"/>
        </w:rPr>
      </w:pPr>
      <w:r w:rsidRPr="462A643F">
        <w:rPr>
          <w:rFonts w:ascii="Verdana" w:hAnsi="Verdana" w:cstheme="minorBidi"/>
          <w:color w:val="auto"/>
          <w:sz w:val="24"/>
          <w:szCs w:val="24"/>
        </w:rPr>
        <w:t>SVCE will consider the Power Purchase Agreement Project Selection Policy when it is determining whether to participate in joint procurement at California Community Power.</w:t>
      </w:r>
    </w:p>
    <w:p w:rsidRPr="002979DB" w:rsidR="00557AA3" w:rsidP="00557AA3" w:rsidRDefault="00557AA3" w14:paraId="019EFF57" w14:textId="77777777">
      <w:pPr>
        <w:rPr>
          <w:rFonts w:ascii="Verdana" w:hAnsi="Verdana"/>
        </w:rPr>
      </w:pPr>
    </w:p>
    <w:p w:rsidRPr="002979DB" w:rsidR="00557AA3" w:rsidP="00FC534A" w:rsidRDefault="00557AA3" w14:paraId="302D8C05" w14:textId="23836218">
      <w:pPr>
        <w:pStyle w:val="Heading1"/>
        <w:pBdr>
          <w:top w:val="single" w:color="auto" w:sz="4" w:space="1"/>
        </w:pBdr>
        <w:ind w:hanging="720"/>
        <w:rPr>
          <w:rFonts w:ascii="Verdana" w:hAnsi="Verdana" w:cstheme="minorHAnsi"/>
          <w:b/>
          <w:bCs/>
          <w:caps/>
          <w:color w:val="auto"/>
          <w:sz w:val="24"/>
          <w:szCs w:val="24"/>
        </w:rPr>
      </w:pPr>
      <w:r w:rsidRPr="002979DB">
        <w:rPr>
          <w:rFonts w:ascii="Verdana" w:hAnsi="Verdana" w:cstheme="minorHAnsi"/>
          <w:b/>
          <w:bCs/>
          <w:caps/>
          <w:color w:val="auto"/>
          <w:sz w:val="24"/>
          <w:szCs w:val="24"/>
        </w:rPr>
        <w:t>Definitions</w:t>
      </w:r>
    </w:p>
    <w:p w:rsidRPr="002979DB" w:rsidR="00984ED8" w:rsidP="00984ED8" w:rsidRDefault="00984ED8" w14:paraId="5D5537DE" w14:textId="77777777">
      <w:pPr>
        <w:rPr>
          <w:rFonts w:ascii="Verdana" w:hAnsi="Verdana"/>
        </w:rPr>
      </w:pPr>
    </w:p>
    <w:p w:rsidRPr="002979DB" w:rsidR="00557AA3" w:rsidP="099DEBB5" w:rsidRDefault="099DEBB5" w14:paraId="5E616FE2" w14:textId="758D6BDF">
      <w:pPr>
        <w:pStyle w:val="Heading2"/>
        <w:ind w:hanging="720"/>
        <w:rPr>
          <w:rFonts w:ascii="Verdana" w:hAnsi="Verdana" w:cstheme="minorBidi"/>
          <w:color w:val="auto"/>
          <w:sz w:val="24"/>
          <w:szCs w:val="24"/>
        </w:rPr>
      </w:pPr>
      <w:r w:rsidRPr="099DEBB5">
        <w:rPr>
          <w:rFonts w:ascii="Verdana" w:hAnsi="Verdana" w:cstheme="minorBidi"/>
          <w:b/>
          <w:bCs/>
          <w:color w:val="auto"/>
          <w:sz w:val="24"/>
          <w:szCs w:val="24"/>
        </w:rPr>
        <w:t>Regulatory Value</w:t>
      </w:r>
      <w:r w:rsidRPr="099DEBB5">
        <w:rPr>
          <w:rFonts w:ascii="Verdana" w:hAnsi="Verdana" w:cstheme="minorBidi"/>
          <w:color w:val="auto"/>
          <w:sz w:val="24"/>
          <w:szCs w:val="24"/>
        </w:rPr>
        <w:t>: The value of project’s anticipated ability to satisfy SVCE’s regulatory compliance requirements such as Resource Adequacy, Renewable Portfolio Standard, integrated resource planning, and other binding orders or directives received from regulatory bodies.</w:t>
      </w:r>
    </w:p>
    <w:p w:rsidRPr="002979DB" w:rsidR="00984ED8" w:rsidP="00984ED8" w:rsidRDefault="00984ED8" w14:paraId="1DED2380" w14:textId="77777777">
      <w:pPr>
        <w:rPr>
          <w:rFonts w:ascii="Verdana" w:hAnsi="Verdana"/>
        </w:rPr>
      </w:pPr>
    </w:p>
    <w:p w:rsidRPr="002979DB" w:rsidR="00557AA3" w:rsidP="4DBF9A59" w:rsidRDefault="30F4D805" w14:paraId="49611C33" w14:textId="12167472">
      <w:pPr>
        <w:pStyle w:val="Heading2"/>
        <w:ind w:hanging="720"/>
        <w:rPr>
          <w:rFonts w:ascii="Verdana" w:hAnsi="Verdana" w:cstheme="minorBidi"/>
          <w:b/>
          <w:bCs/>
          <w:color w:val="auto"/>
          <w:sz w:val="24"/>
          <w:szCs w:val="24"/>
        </w:rPr>
      </w:pPr>
      <w:r w:rsidRPr="30F4D805">
        <w:rPr>
          <w:rFonts w:ascii="Verdana" w:hAnsi="Verdana" w:cstheme="minorBidi"/>
          <w:b/>
          <w:bCs/>
          <w:color w:val="auto"/>
          <w:sz w:val="24"/>
          <w:szCs w:val="24"/>
        </w:rPr>
        <w:t xml:space="preserve">Market Value: </w:t>
      </w:r>
      <w:r w:rsidRPr="30F4D805">
        <w:rPr>
          <w:rFonts w:ascii="Verdana" w:hAnsi="Verdana" w:cstheme="minorBidi"/>
          <w:color w:val="auto"/>
          <w:sz w:val="24"/>
          <w:szCs w:val="24"/>
        </w:rPr>
        <w:t>The project’s projected revenues across all relevant day-ahead real-time, ancillary, and other markets. Market Value shall also assess a project’s ability to manage, shift, or arbitrage existing SVCE generation to maximize revenue and renewable energy generation on behalf of SVCE and its customers.</w:t>
      </w:r>
    </w:p>
    <w:p w:rsidRPr="002979DB" w:rsidR="00557AA3" w:rsidP="00557AA3" w:rsidRDefault="00557AA3" w14:paraId="2D83A845" w14:textId="77777777">
      <w:pPr>
        <w:pStyle w:val="ListParagraph"/>
        <w:ind w:hanging="720"/>
        <w:rPr>
          <w:rFonts w:ascii="Verdana" w:hAnsi="Verdana" w:cstheme="minorHAnsi"/>
          <w:b/>
          <w:bCs/>
          <w:sz w:val="24"/>
          <w:szCs w:val="24"/>
        </w:rPr>
      </w:pPr>
    </w:p>
    <w:p w:rsidRPr="002979DB" w:rsidR="00557AA3" w:rsidP="00557AA3" w:rsidRDefault="00557AA3" w14:paraId="2EDB2D71" w14:textId="77777777">
      <w:pPr>
        <w:pStyle w:val="Heading2"/>
        <w:ind w:hanging="720"/>
        <w:rPr>
          <w:rFonts w:ascii="Verdana" w:hAnsi="Verdana" w:cstheme="minorHAnsi"/>
          <w:b/>
          <w:bCs/>
          <w:color w:val="auto"/>
          <w:sz w:val="24"/>
          <w:szCs w:val="24"/>
        </w:rPr>
      </w:pPr>
      <w:r w:rsidRPr="002979DB">
        <w:rPr>
          <w:rFonts w:ascii="Verdana" w:hAnsi="Verdana" w:cstheme="minorHAnsi"/>
          <w:b/>
          <w:bCs/>
          <w:color w:val="auto"/>
          <w:sz w:val="24"/>
          <w:szCs w:val="24"/>
        </w:rPr>
        <w:t>Counterparty Risk</w:t>
      </w:r>
      <w:r w:rsidRPr="002979DB">
        <w:rPr>
          <w:rFonts w:ascii="Verdana" w:hAnsi="Verdana" w:cstheme="minorHAnsi"/>
          <w:color w:val="auto"/>
          <w:sz w:val="24"/>
          <w:szCs w:val="24"/>
        </w:rPr>
        <w:t>: The risk that a counterparty will fail to perform, or adequately remedy, its obligations.  Counterparty Risk is inclusive of Development Risk.</w:t>
      </w:r>
    </w:p>
    <w:p w:rsidRPr="002979DB" w:rsidR="00557AA3" w:rsidP="00557AA3" w:rsidRDefault="00557AA3" w14:paraId="296B21BE" w14:textId="77777777">
      <w:pPr>
        <w:pStyle w:val="ListParagraph"/>
        <w:ind w:hanging="720"/>
        <w:rPr>
          <w:rFonts w:ascii="Verdana" w:hAnsi="Verdana" w:cstheme="minorHAnsi"/>
          <w:b/>
          <w:bCs/>
          <w:sz w:val="24"/>
          <w:szCs w:val="24"/>
        </w:rPr>
      </w:pPr>
    </w:p>
    <w:p w:rsidRPr="002979DB" w:rsidR="00557AA3" w:rsidP="00557AA3" w:rsidRDefault="00557AA3" w14:paraId="0DFA39C3" w14:textId="77777777">
      <w:pPr>
        <w:pStyle w:val="Heading2"/>
        <w:ind w:hanging="720"/>
        <w:rPr>
          <w:rFonts w:ascii="Verdana" w:hAnsi="Verdana" w:cstheme="minorHAnsi"/>
          <w:color w:val="auto"/>
          <w:sz w:val="24"/>
          <w:szCs w:val="24"/>
        </w:rPr>
      </w:pPr>
      <w:r w:rsidRPr="002979DB">
        <w:rPr>
          <w:rFonts w:ascii="Verdana" w:hAnsi="Verdana" w:cstheme="minorHAnsi"/>
          <w:b/>
          <w:bCs/>
          <w:color w:val="auto"/>
          <w:sz w:val="24"/>
          <w:szCs w:val="24"/>
        </w:rPr>
        <w:t>Development Risk</w:t>
      </w:r>
      <w:r w:rsidRPr="002979DB">
        <w:rPr>
          <w:rFonts w:ascii="Verdana" w:hAnsi="Verdana" w:cstheme="minorHAnsi"/>
          <w:color w:val="auto"/>
          <w:sz w:val="24"/>
          <w:szCs w:val="24"/>
        </w:rPr>
        <w:t>: The risk that the project is unable to obtain interconnection, deliverability, site control, entitlements, financing, or other necessary development milestones required to deliver the project on or ahead of the anticipated online date.</w:t>
      </w:r>
    </w:p>
    <w:p w:rsidRPr="002979DB" w:rsidR="00984ED8" w:rsidP="00984ED8" w:rsidRDefault="00984ED8" w14:paraId="54F12D1D" w14:textId="77777777">
      <w:pPr>
        <w:rPr>
          <w:rFonts w:ascii="Verdana" w:hAnsi="Verdana" w:cstheme="minorHAnsi"/>
          <w:sz w:val="24"/>
          <w:szCs w:val="24"/>
        </w:rPr>
      </w:pPr>
    </w:p>
    <w:p w:rsidRPr="002979DB" w:rsidR="00984ED8" w:rsidP="3708F173" w:rsidRDefault="3708F173" w14:paraId="210F86B1" w14:textId="38732ED6">
      <w:pPr>
        <w:pStyle w:val="Heading2"/>
        <w:ind w:hanging="720"/>
        <w:rPr>
          <w:rFonts w:ascii="Verdana" w:hAnsi="Verdana" w:cstheme="minorBidi"/>
          <w:color w:val="auto"/>
          <w:sz w:val="24"/>
          <w:szCs w:val="24"/>
        </w:rPr>
      </w:pPr>
      <w:r w:rsidRPr="3708F173">
        <w:rPr>
          <w:rFonts w:ascii="Verdana" w:hAnsi="Verdana" w:cstheme="minorBidi"/>
          <w:b/>
          <w:bCs/>
          <w:color w:val="auto"/>
          <w:sz w:val="24"/>
          <w:szCs w:val="24"/>
        </w:rPr>
        <w:lastRenderedPageBreak/>
        <w:t>Power Purchase Agreements</w:t>
      </w:r>
      <w:r w:rsidRPr="3708F173">
        <w:rPr>
          <w:rFonts w:ascii="Verdana" w:hAnsi="Verdana" w:cstheme="minorBidi"/>
          <w:color w:val="auto"/>
          <w:sz w:val="24"/>
          <w:szCs w:val="24"/>
        </w:rPr>
        <w:t xml:space="preserve">: An agreement that provides for </w:t>
      </w:r>
      <w:r w:rsidR="00B7589A">
        <w:rPr>
          <w:rFonts w:ascii="Verdana" w:hAnsi="Verdana" w:cstheme="minorBidi"/>
          <w:color w:val="auto"/>
          <w:sz w:val="24"/>
          <w:szCs w:val="24"/>
        </w:rPr>
        <w:t>new build or substantial repower projects</w:t>
      </w:r>
      <w:r w:rsidRPr="3708F173" w:rsidR="00B7589A">
        <w:rPr>
          <w:rFonts w:ascii="Verdana" w:hAnsi="Verdana" w:cstheme="minorBidi"/>
          <w:color w:val="auto"/>
          <w:sz w:val="24"/>
          <w:szCs w:val="24"/>
        </w:rPr>
        <w:t xml:space="preserve"> </w:t>
      </w:r>
      <w:proofErr w:type="gramStart"/>
      <w:r w:rsidRPr="3708F173">
        <w:rPr>
          <w:rFonts w:ascii="Verdana" w:hAnsi="Verdana" w:cstheme="minorBidi"/>
          <w:color w:val="auto"/>
          <w:sz w:val="24"/>
          <w:szCs w:val="24"/>
        </w:rPr>
        <w:t>but wherein</w:t>
      </w:r>
      <w:proofErr w:type="gramEnd"/>
      <w:r w:rsidRPr="3708F173">
        <w:rPr>
          <w:rFonts w:ascii="Verdana" w:hAnsi="Verdana" w:cstheme="minorBidi"/>
          <w:color w:val="auto"/>
          <w:sz w:val="24"/>
          <w:szCs w:val="24"/>
        </w:rPr>
        <w:t xml:space="preserve"> SVCE’s participation in the project is limited to receiving energy and any applicable attribute at a set price and term. This includes power purchase agreements, energy storage agreements, resource adequacy only agreements, or other energy product agreements.</w:t>
      </w:r>
    </w:p>
    <w:p w:rsidRPr="002979DB" w:rsidR="00984ED8" w:rsidP="00984ED8" w:rsidRDefault="00984ED8" w14:paraId="336867A7" w14:textId="77777777">
      <w:pPr>
        <w:rPr>
          <w:rFonts w:ascii="Verdana" w:hAnsi="Verdana"/>
        </w:rPr>
      </w:pPr>
    </w:p>
    <w:p w:rsidRPr="002979DB" w:rsidR="00557AA3" w:rsidP="00557AA3" w:rsidRDefault="3905111F" w14:paraId="3E993F58" w14:textId="6CFF8148">
      <w:pPr>
        <w:pStyle w:val="Heading2"/>
        <w:ind w:hanging="720"/>
        <w:rPr>
          <w:rFonts w:ascii="Verdana" w:hAnsi="Verdana" w:cstheme="minorHAnsi"/>
          <w:color w:val="auto"/>
          <w:sz w:val="24"/>
          <w:szCs w:val="24"/>
        </w:rPr>
      </w:pPr>
      <w:r w:rsidRPr="002979DB">
        <w:rPr>
          <w:rFonts w:ascii="Verdana" w:hAnsi="Verdana" w:cstheme="minorBidi"/>
          <w:b/>
          <w:bCs/>
          <w:color w:val="auto"/>
          <w:sz w:val="24"/>
          <w:szCs w:val="24"/>
        </w:rPr>
        <w:t xml:space="preserve">Journeyperson: </w:t>
      </w:r>
      <w:r w:rsidRPr="002979DB">
        <w:rPr>
          <w:rFonts w:ascii="Verdana" w:hAnsi="Verdana" w:cstheme="minorBidi"/>
          <w:color w:val="auto"/>
          <w:sz w:val="24"/>
          <w:szCs w:val="24"/>
        </w:rPr>
        <w:t xml:space="preserve">Is a worker who either: </w:t>
      </w:r>
    </w:p>
    <w:p w:rsidRPr="002979DB" w:rsidR="00557AA3" w:rsidP="00557AA3" w:rsidRDefault="00557AA3" w14:paraId="181FF713" w14:textId="77777777">
      <w:pPr>
        <w:pStyle w:val="Heading3"/>
        <w:ind w:hanging="720"/>
        <w:rPr>
          <w:rFonts w:ascii="Verdana" w:hAnsi="Verdana" w:cstheme="minorHAnsi"/>
          <w:color w:val="auto"/>
        </w:rPr>
      </w:pPr>
      <w:r w:rsidRPr="002979DB">
        <w:rPr>
          <w:rFonts w:ascii="Verdana" w:hAnsi="Verdana" w:cstheme="minorHAnsi"/>
          <w:color w:val="auto"/>
        </w:rPr>
        <w:t xml:space="preserve">Graduated from a California state-approved apprenticeship program for the applicable occupation or, when located outside California, approved for federal purposes pursuant to apprenticeship regulations adopted by the Secretary of Labor, or </w:t>
      </w:r>
    </w:p>
    <w:p w:rsidRPr="002979DB" w:rsidR="00557AA3" w:rsidP="00557AA3" w:rsidRDefault="00557AA3" w14:paraId="1D566128" w14:textId="77777777">
      <w:pPr>
        <w:pStyle w:val="Heading3"/>
        <w:ind w:hanging="720"/>
        <w:rPr>
          <w:rFonts w:ascii="Verdana" w:hAnsi="Verdana" w:cstheme="minorHAnsi"/>
          <w:color w:val="auto"/>
        </w:rPr>
      </w:pPr>
      <w:r w:rsidRPr="002979DB">
        <w:rPr>
          <w:rFonts w:ascii="Verdana" w:hAnsi="Verdana" w:cstheme="minorHAnsi"/>
          <w:color w:val="auto"/>
        </w:rPr>
        <w:t>Has at least as many hours of on-the-job experience in an applicable occupation as would be required to graduate from an apprenticeship program for the applicable occupation that is approved by the California Division of Apprenticeship Standards.</w:t>
      </w:r>
    </w:p>
    <w:p w:rsidRPr="002979DB" w:rsidR="00984ED8" w:rsidP="00984ED8" w:rsidRDefault="00984ED8" w14:paraId="63287E7A" w14:textId="77777777">
      <w:pPr>
        <w:rPr>
          <w:rFonts w:ascii="Verdana" w:hAnsi="Verdana"/>
        </w:rPr>
      </w:pPr>
    </w:p>
    <w:p w:rsidRPr="002979DB" w:rsidR="00557AA3" w:rsidP="00557AA3" w:rsidRDefault="3905111F" w14:paraId="66427F6C" w14:textId="77777777">
      <w:pPr>
        <w:pStyle w:val="Heading2"/>
        <w:ind w:hanging="720"/>
        <w:rPr>
          <w:rFonts w:ascii="Verdana" w:hAnsi="Verdana" w:cstheme="minorHAnsi"/>
          <w:color w:val="auto"/>
          <w:sz w:val="24"/>
          <w:szCs w:val="24"/>
        </w:rPr>
      </w:pPr>
      <w:r w:rsidRPr="002979DB">
        <w:rPr>
          <w:rFonts w:ascii="Verdana" w:hAnsi="Verdana" w:cstheme="minorBidi"/>
          <w:b/>
          <w:bCs/>
          <w:color w:val="auto"/>
          <w:sz w:val="24"/>
          <w:szCs w:val="24"/>
        </w:rPr>
        <w:t>Skilled and Trained Workforce</w:t>
      </w:r>
      <w:r w:rsidRPr="002979DB">
        <w:rPr>
          <w:rFonts w:ascii="Verdana" w:hAnsi="Verdana" w:cstheme="minorBidi"/>
          <w:color w:val="auto"/>
          <w:sz w:val="24"/>
          <w:szCs w:val="24"/>
        </w:rPr>
        <w:t>: means a workforce in which:</w:t>
      </w:r>
    </w:p>
    <w:p w:rsidR="00A85FC5" w:rsidP="00A85FC5" w:rsidRDefault="00557AA3" w14:paraId="44A5D8AC" w14:textId="40D6CA96">
      <w:pPr>
        <w:pStyle w:val="Heading3"/>
        <w:ind w:hanging="720"/>
        <w:rPr>
          <w:rFonts w:ascii="Verdana" w:hAnsi="Verdana" w:cstheme="minorBidi"/>
          <w:color w:val="auto"/>
        </w:rPr>
      </w:pPr>
      <w:r w:rsidRPr="002979DB">
        <w:rPr>
          <w:rFonts w:ascii="Verdana" w:hAnsi="Verdana" w:cstheme="minorBidi"/>
          <w:color w:val="auto"/>
        </w:rPr>
        <w:t>All workers performing work in apprentice-able occupations in the building and construction trades are either skilled Journeypersons or Apprentices registered in an apprentice program approved by the Chief of the Division of Apprenticeship Standards, as defined in Chapter 2.9 of Part 1 of Division 2 of the California Public Contracts Code.</w:t>
      </w:r>
    </w:p>
    <w:p w:rsidRPr="00A85FC5" w:rsidR="00A85FC5" w:rsidP="00A85FC5" w:rsidRDefault="00A85FC5" w14:paraId="71E09795" w14:textId="77777777"/>
    <w:p w:rsidR="00AB517C" w:rsidP="00AB517C" w:rsidRDefault="3708F173" w14:paraId="28605E7D" w14:textId="77777777">
      <w:pPr>
        <w:spacing w:before="40" w:after="0"/>
        <w:ind w:left="-720"/>
        <w:rPr>
          <w:rFonts w:ascii="Verdana" w:hAnsi="Verdana" w:eastAsiaTheme="majorEastAsia"/>
          <w:sz w:val="24"/>
          <w:szCs w:val="24"/>
        </w:rPr>
      </w:pPr>
      <w:r w:rsidRPr="3708F173">
        <w:rPr>
          <w:rFonts w:ascii="Verdana" w:hAnsi="Verdana" w:eastAsiaTheme="majorEastAsia"/>
          <w:sz w:val="24"/>
          <w:szCs w:val="24"/>
        </w:rPr>
        <w:t>H.</w:t>
      </w:r>
      <w:r w:rsidRPr="00AB517C" w:rsidR="00A85FC5">
        <w:rPr>
          <w:rFonts w:ascii="Verdana" w:hAnsi="Verdana" w:eastAsiaTheme="majorEastAsia"/>
          <w:sz w:val="24"/>
          <w:szCs w:val="24"/>
        </w:rPr>
        <w:tab/>
      </w:r>
      <w:r w:rsidRPr="00AB517C">
        <w:rPr>
          <w:rFonts w:ascii="Verdana" w:hAnsi="Verdana" w:eastAsiaTheme="majorEastAsia"/>
          <w:b/>
          <w:bCs/>
          <w:sz w:val="24"/>
          <w:szCs w:val="24"/>
        </w:rPr>
        <w:t>Local Hire</w:t>
      </w:r>
      <w:r w:rsidRPr="00AB517C">
        <w:rPr>
          <w:rFonts w:ascii="Verdana" w:hAnsi="Verdana" w:eastAsiaTheme="majorEastAsia"/>
          <w:sz w:val="24"/>
          <w:szCs w:val="24"/>
        </w:rPr>
        <w:t>:</w:t>
      </w:r>
      <w:r w:rsidRPr="3708F173">
        <w:rPr>
          <w:rFonts w:ascii="Verdana" w:hAnsi="Verdana" w:eastAsiaTheme="majorEastAsia"/>
          <w:sz w:val="24"/>
          <w:szCs w:val="24"/>
        </w:rPr>
        <w:t xml:space="preserve"> A qualified worker that meets one of the following criteria </w:t>
      </w:r>
      <w:r w:rsidRPr="3708F173" w:rsidR="00AB517C">
        <w:rPr>
          <w:rFonts w:ascii="Verdana" w:hAnsi="Verdana" w:eastAsiaTheme="majorEastAsia"/>
          <w:sz w:val="24"/>
          <w:szCs w:val="24"/>
        </w:rPr>
        <w:t>in</w:t>
      </w:r>
    </w:p>
    <w:p w:rsidRPr="00A85FC5" w:rsidR="00A85FC5" w:rsidP="00AB517C" w:rsidRDefault="00AB517C" w14:paraId="66955367" w14:textId="3106BAC9">
      <w:pPr>
        <w:spacing w:before="40" w:after="0"/>
        <w:ind w:left="-720" w:firstLine="720"/>
        <w:rPr>
          <w:rFonts w:ascii="Verdana" w:hAnsi="Verdana" w:eastAsiaTheme="majorEastAsia"/>
          <w:sz w:val="24"/>
          <w:szCs w:val="24"/>
        </w:rPr>
      </w:pPr>
      <w:r w:rsidRPr="3708F173">
        <w:rPr>
          <w:rFonts w:ascii="Verdana" w:hAnsi="Verdana" w:eastAsiaTheme="majorEastAsia"/>
          <w:sz w:val="24"/>
          <w:szCs w:val="24"/>
        </w:rPr>
        <w:t>descending</w:t>
      </w:r>
      <w:r w:rsidRPr="3708F173" w:rsidR="3708F173">
        <w:rPr>
          <w:rFonts w:ascii="Verdana" w:hAnsi="Verdana" w:eastAsiaTheme="majorEastAsia"/>
          <w:sz w:val="24"/>
          <w:szCs w:val="24"/>
        </w:rPr>
        <w:t xml:space="preserve"> priority:</w:t>
      </w:r>
    </w:p>
    <w:p w:rsidRPr="00A85FC5" w:rsidR="00A85FC5" w:rsidP="00A85FC5" w:rsidRDefault="00A85FC5" w14:paraId="11C86D0B" w14:textId="258615FC">
      <w:pPr>
        <w:rPr>
          <w:rFonts w:ascii="Verdana" w:hAnsi="Verdana" w:eastAsiaTheme="majorEastAsia"/>
          <w:sz w:val="24"/>
          <w:szCs w:val="24"/>
        </w:rPr>
      </w:pPr>
      <w:r w:rsidRPr="00A85FC5">
        <w:rPr>
          <w:rFonts w:ascii="Verdana" w:hAnsi="Verdana" w:eastAsiaTheme="majorEastAsia"/>
          <w:sz w:val="24"/>
          <w:szCs w:val="24"/>
        </w:rPr>
        <w:t>1. A resident within the nearest communities in proximity to the project, by a radius as reasonably determined on a project-by-project basis. Such radius will target a distance that is within reasonable daily commuting distance.</w:t>
      </w:r>
    </w:p>
    <w:p w:rsidRPr="00A85FC5" w:rsidR="00A85FC5" w:rsidP="00A85FC5" w:rsidRDefault="00A85FC5" w14:paraId="3906C542" w14:textId="2EC231CF">
      <w:pPr>
        <w:rPr>
          <w:rFonts w:ascii="Verdana" w:hAnsi="Verdana" w:eastAsiaTheme="majorEastAsia"/>
          <w:sz w:val="24"/>
          <w:szCs w:val="24"/>
        </w:rPr>
      </w:pPr>
      <w:r w:rsidRPr="00A85FC5">
        <w:rPr>
          <w:rFonts w:ascii="Verdana" w:hAnsi="Verdana" w:eastAsiaTheme="majorEastAsia"/>
          <w:sz w:val="24"/>
          <w:szCs w:val="24"/>
        </w:rPr>
        <w:t>2. A resident within the county where the project is constructed.</w:t>
      </w:r>
    </w:p>
    <w:p w:rsidRPr="00A85FC5" w:rsidR="00A85FC5" w:rsidP="00A85FC5" w:rsidRDefault="00A85FC5" w14:paraId="74CB7AAF" w14:textId="77777777">
      <w:pPr>
        <w:rPr>
          <w:rFonts w:ascii="Verdana" w:hAnsi="Verdana" w:eastAsiaTheme="majorEastAsia"/>
          <w:sz w:val="24"/>
          <w:szCs w:val="24"/>
        </w:rPr>
      </w:pPr>
    </w:p>
    <w:p w:rsidR="00AB517C" w:rsidP="00AB517C" w:rsidRDefault="3708F173" w14:paraId="70726D95" w14:textId="77777777">
      <w:pPr>
        <w:ind w:left="-720"/>
        <w:rPr>
          <w:rFonts w:ascii="Verdana" w:hAnsi="Verdana" w:eastAsiaTheme="majorEastAsia"/>
          <w:sz w:val="24"/>
          <w:szCs w:val="24"/>
        </w:rPr>
      </w:pPr>
      <w:r w:rsidRPr="3708F173">
        <w:rPr>
          <w:rFonts w:ascii="Verdana" w:hAnsi="Verdana" w:eastAsiaTheme="majorEastAsia"/>
          <w:sz w:val="24"/>
          <w:szCs w:val="24"/>
        </w:rPr>
        <w:t>I</w:t>
      </w:r>
      <w:proofErr w:type="gramStart"/>
      <w:r w:rsidRPr="3708F173">
        <w:rPr>
          <w:rFonts w:ascii="Verdana" w:hAnsi="Verdana" w:eastAsiaTheme="majorEastAsia"/>
          <w:sz w:val="24"/>
          <w:szCs w:val="24"/>
        </w:rPr>
        <w:t xml:space="preserve">. </w:t>
      </w:r>
      <w:r w:rsidR="00A85FC5">
        <w:tab/>
      </w:r>
      <w:r w:rsidRPr="00703E8C">
        <w:rPr>
          <w:rFonts w:ascii="Verdana" w:hAnsi="Verdana" w:eastAsiaTheme="majorEastAsia"/>
          <w:b/>
          <w:bCs/>
          <w:sz w:val="24"/>
          <w:szCs w:val="24"/>
        </w:rPr>
        <w:t>Workforce</w:t>
      </w:r>
      <w:proofErr w:type="gramEnd"/>
      <w:r w:rsidRPr="00703E8C">
        <w:rPr>
          <w:rFonts w:ascii="Verdana" w:hAnsi="Verdana" w:eastAsiaTheme="majorEastAsia"/>
          <w:b/>
          <w:bCs/>
          <w:sz w:val="24"/>
          <w:szCs w:val="24"/>
        </w:rPr>
        <w:t xml:space="preserve"> Pipeline Program Hires:</w:t>
      </w:r>
      <w:r w:rsidRPr="3708F173">
        <w:rPr>
          <w:rFonts w:ascii="Verdana" w:hAnsi="Verdana" w:eastAsiaTheme="majorEastAsia"/>
          <w:sz w:val="24"/>
          <w:szCs w:val="24"/>
        </w:rPr>
        <w:t xml:space="preserve"> means an individual who is a</w:t>
      </w:r>
    </w:p>
    <w:p w:rsidRPr="00A85FC5" w:rsidR="00A85FC5" w:rsidP="00AB517C" w:rsidRDefault="3708F173" w14:paraId="661B67DE" w14:textId="06486FA4">
      <w:pPr>
        <w:ind w:left="-720" w:firstLine="720"/>
        <w:rPr>
          <w:rFonts w:ascii="Verdana" w:hAnsi="Verdana" w:eastAsiaTheme="majorEastAsia"/>
          <w:sz w:val="24"/>
          <w:szCs w:val="24"/>
        </w:rPr>
      </w:pPr>
      <w:r w:rsidRPr="3708F173">
        <w:rPr>
          <w:rFonts w:ascii="Verdana" w:hAnsi="Verdana" w:eastAsiaTheme="majorEastAsia"/>
          <w:sz w:val="24"/>
          <w:szCs w:val="24"/>
        </w:rPr>
        <w:t>participant in a workforce pipeline program which:</w:t>
      </w:r>
    </w:p>
    <w:p w:rsidRPr="00A85FC5" w:rsidR="00A85FC5" w:rsidP="00A85FC5" w:rsidRDefault="00A85FC5" w14:paraId="6A9B342C" w14:textId="29F7E10E">
      <w:pPr>
        <w:rPr>
          <w:rFonts w:ascii="Verdana" w:hAnsi="Verdana" w:eastAsiaTheme="majorEastAsia"/>
          <w:sz w:val="24"/>
          <w:szCs w:val="24"/>
        </w:rPr>
      </w:pPr>
      <w:r w:rsidRPr="00A85FC5">
        <w:rPr>
          <w:rFonts w:ascii="Verdana" w:hAnsi="Verdana" w:eastAsiaTheme="majorEastAsia"/>
          <w:sz w:val="24"/>
          <w:szCs w:val="24"/>
        </w:rPr>
        <w:t xml:space="preserve">1. Partners with a structured, Multi-Craft Core Curriculum (MC3)-certified construction careers training and placement program or programs that </w:t>
      </w:r>
      <w:proofErr w:type="gramStart"/>
      <w:r w:rsidRPr="00A85FC5">
        <w:rPr>
          <w:rFonts w:ascii="Verdana" w:hAnsi="Verdana" w:eastAsiaTheme="majorEastAsia"/>
          <w:sz w:val="24"/>
          <w:szCs w:val="24"/>
        </w:rPr>
        <w:lastRenderedPageBreak/>
        <w:t>recruits</w:t>
      </w:r>
      <w:proofErr w:type="gramEnd"/>
      <w:r w:rsidRPr="00A85FC5">
        <w:rPr>
          <w:rFonts w:ascii="Verdana" w:hAnsi="Verdana" w:eastAsiaTheme="majorEastAsia"/>
          <w:sz w:val="24"/>
          <w:szCs w:val="24"/>
        </w:rPr>
        <w:t xml:space="preserve">, supports, and places targeted workers in skilled construction trades; and </w:t>
      </w:r>
    </w:p>
    <w:p w:rsidR="00A85FC5" w:rsidP="00A85FC5" w:rsidRDefault="00A85FC5" w14:paraId="30739DE1" w14:textId="4765BB14">
      <w:pPr>
        <w:rPr>
          <w:rFonts w:ascii="Verdana" w:hAnsi="Verdana" w:eastAsiaTheme="majorEastAsia"/>
          <w:sz w:val="24"/>
          <w:szCs w:val="24"/>
        </w:rPr>
      </w:pPr>
      <w:r w:rsidRPr="00A85FC5">
        <w:rPr>
          <w:rFonts w:ascii="Verdana" w:hAnsi="Verdana" w:eastAsiaTheme="majorEastAsia"/>
          <w:sz w:val="24"/>
          <w:szCs w:val="24"/>
        </w:rPr>
        <w:t>2. Creates opportunities for certified MC3 graduates to enter Registered Apprenticeship Programs and/or obtain work hours needed to successfully complete their apprenticeship.</w:t>
      </w:r>
    </w:p>
    <w:p w:rsidRPr="00A85FC5" w:rsidR="00A85FC5" w:rsidP="00A85FC5" w:rsidRDefault="00A85FC5" w14:paraId="5B342ED6" w14:textId="77777777">
      <w:pPr>
        <w:rPr>
          <w:rFonts w:ascii="Verdana" w:hAnsi="Verdana" w:eastAsiaTheme="majorEastAsia"/>
          <w:sz w:val="24"/>
          <w:szCs w:val="24"/>
        </w:rPr>
      </w:pPr>
    </w:p>
    <w:bookmarkEnd w:id="0"/>
    <w:p w:rsidRPr="002979DB" w:rsidR="00440DA0" w:rsidRDefault="00440DA0" w14:paraId="7D666587" w14:textId="77777777">
      <w:pPr>
        <w:rPr>
          <w:rFonts w:ascii="Verdana" w:hAnsi="Verdana"/>
        </w:rPr>
      </w:pPr>
    </w:p>
    <w:sectPr w:rsidRPr="002979DB" w:rsidR="00440DA0" w:rsidSect="00877E5B">
      <w:headerReference w:type="default" r:id="rId8"/>
      <w:pgSz w:w="12240" w:h="15840" w:orient="portrait"/>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E15" w:rsidRDefault="00AC1E15" w14:paraId="15E34B0D" w14:textId="77777777">
      <w:pPr>
        <w:spacing w:after="0" w:line="240" w:lineRule="auto"/>
      </w:pPr>
      <w:r>
        <w:separator/>
      </w:r>
    </w:p>
  </w:endnote>
  <w:endnote w:type="continuationSeparator" w:id="0">
    <w:p w:rsidR="00AC1E15" w:rsidRDefault="00AC1E15" w14:paraId="12943C8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E15" w:rsidRDefault="00AC1E15" w14:paraId="52C64C33" w14:textId="77777777">
      <w:pPr>
        <w:spacing w:after="0" w:line="240" w:lineRule="auto"/>
      </w:pPr>
      <w:r>
        <w:separator/>
      </w:r>
    </w:p>
  </w:footnote>
  <w:footnote w:type="continuationSeparator" w:id="0">
    <w:p w:rsidR="00AC1E15" w:rsidRDefault="00AC1E15" w14:paraId="175B73C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099" w:rsidRDefault="00000000" w14:paraId="7E2390EE" w14:textId="559E29D2">
    <w:pPr>
      <w:pStyle w:val="Header"/>
      <w:jc w:val="right"/>
    </w:pPr>
    <w:sdt>
      <w:sdtPr>
        <w:id w:val="-1318336367"/>
        <w:docPartObj>
          <w:docPartGallery w:val="Page Numbers (Top of Page)"/>
          <w:docPartUnique/>
        </w:docPartObj>
      </w:sdtPr>
      <w:sdtContent>
        <w:r w:rsidR="00182B6F">
          <w:t xml:space="preserve">Page </w:t>
        </w:r>
        <w:r w:rsidR="00182B6F">
          <w:rPr>
            <w:b/>
            <w:bCs/>
            <w:sz w:val="24"/>
            <w:szCs w:val="24"/>
          </w:rPr>
          <w:fldChar w:fldCharType="begin"/>
        </w:r>
        <w:r w:rsidR="00182B6F">
          <w:rPr>
            <w:b/>
            <w:bCs/>
          </w:rPr>
          <w:instrText xml:space="preserve"> PAGE </w:instrText>
        </w:r>
        <w:r w:rsidR="00182B6F">
          <w:rPr>
            <w:b/>
            <w:bCs/>
            <w:sz w:val="24"/>
            <w:szCs w:val="24"/>
          </w:rPr>
          <w:fldChar w:fldCharType="separate"/>
        </w:r>
        <w:r w:rsidR="00182B6F">
          <w:rPr>
            <w:b/>
            <w:bCs/>
            <w:noProof/>
          </w:rPr>
          <w:t>2</w:t>
        </w:r>
        <w:r w:rsidR="00182B6F">
          <w:rPr>
            <w:b/>
            <w:bCs/>
            <w:sz w:val="24"/>
            <w:szCs w:val="24"/>
          </w:rPr>
          <w:fldChar w:fldCharType="end"/>
        </w:r>
        <w:r w:rsidR="00182B6F">
          <w:t xml:space="preserve"> of </w:t>
        </w:r>
        <w:r w:rsidR="00182B6F">
          <w:rPr>
            <w:b/>
            <w:bCs/>
            <w:sz w:val="24"/>
            <w:szCs w:val="24"/>
          </w:rPr>
          <w:fldChar w:fldCharType="begin"/>
        </w:r>
        <w:r w:rsidR="00182B6F">
          <w:rPr>
            <w:b/>
            <w:bCs/>
          </w:rPr>
          <w:instrText xml:space="preserve"> NUMPAGES  </w:instrText>
        </w:r>
        <w:r w:rsidR="00182B6F">
          <w:rPr>
            <w:b/>
            <w:bCs/>
            <w:sz w:val="24"/>
            <w:szCs w:val="24"/>
          </w:rPr>
          <w:fldChar w:fldCharType="separate"/>
        </w:r>
        <w:r w:rsidR="00182B6F">
          <w:rPr>
            <w:b/>
            <w:bCs/>
            <w:noProof/>
          </w:rPr>
          <w:t>2</w:t>
        </w:r>
        <w:r w:rsidR="00182B6F">
          <w:rPr>
            <w:b/>
            <w:bCs/>
            <w:sz w:val="24"/>
            <w:szCs w:val="24"/>
          </w:rPr>
          <w:fldChar w:fldCharType="end"/>
        </w:r>
      </w:sdtContent>
    </w:sdt>
  </w:p>
  <w:p w:rsidR="00F24099" w:rsidRDefault="00F24099" w14:paraId="357BEC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345B"/>
    <w:multiLevelType w:val="hybridMultilevel"/>
    <w:tmpl w:val="8064E8E0"/>
    <w:lvl w:ilvl="0" w:tplc="A87C4B36">
      <w:start w:val="1"/>
      <w:numFmt w:val="upperRoman"/>
      <w:pStyle w:val="Heading1"/>
      <w:lvlText w:val="%1."/>
      <w:lvlJc w:val="left"/>
      <w:pPr>
        <w:ind w:left="0" w:firstLine="0"/>
      </w:pPr>
      <w:rPr>
        <w:b/>
        <w:bCs/>
      </w:rPr>
    </w:lvl>
    <w:lvl w:ilvl="1" w:tplc="BE487B64">
      <w:start w:val="1"/>
      <w:numFmt w:val="upperLetter"/>
      <w:pStyle w:val="Heading2"/>
      <w:lvlText w:val="%2."/>
      <w:lvlJc w:val="left"/>
      <w:pPr>
        <w:ind w:left="0" w:firstLine="0"/>
      </w:pPr>
      <w:rPr>
        <w:b w:val="0"/>
        <w:bCs w:val="0"/>
        <w:i w:val="0"/>
        <w:iCs/>
      </w:rPr>
    </w:lvl>
    <w:lvl w:ilvl="2" w:tplc="08D41CF2">
      <w:start w:val="1"/>
      <w:numFmt w:val="decimal"/>
      <w:pStyle w:val="Heading3"/>
      <w:lvlText w:val="%3."/>
      <w:lvlJc w:val="left"/>
      <w:pPr>
        <w:ind w:left="1440" w:firstLine="0"/>
      </w:pPr>
    </w:lvl>
    <w:lvl w:ilvl="3" w:tplc="AF08596C">
      <w:start w:val="1"/>
      <w:numFmt w:val="lowerLetter"/>
      <w:pStyle w:val="Heading4"/>
      <w:lvlText w:val="%4)"/>
      <w:lvlJc w:val="left"/>
      <w:pPr>
        <w:ind w:left="2160" w:firstLine="0"/>
      </w:pPr>
      <w:rPr>
        <w:i w:val="0"/>
        <w:iCs w:val="0"/>
      </w:rPr>
    </w:lvl>
    <w:lvl w:ilvl="4" w:tplc="DDD60118">
      <w:start w:val="1"/>
      <w:numFmt w:val="decimal"/>
      <w:pStyle w:val="Heading5"/>
      <w:lvlText w:val="(%5)"/>
      <w:lvlJc w:val="left"/>
      <w:pPr>
        <w:ind w:left="2880" w:firstLine="0"/>
      </w:pPr>
    </w:lvl>
    <w:lvl w:ilvl="5" w:tplc="5ED69370">
      <w:start w:val="1"/>
      <w:numFmt w:val="lowerLetter"/>
      <w:pStyle w:val="Heading6"/>
      <w:lvlText w:val="(%6)"/>
      <w:lvlJc w:val="left"/>
      <w:pPr>
        <w:ind w:left="3600" w:firstLine="0"/>
      </w:pPr>
    </w:lvl>
    <w:lvl w:ilvl="6" w:tplc="B3DC8494">
      <w:start w:val="1"/>
      <w:numFmt w:val="lowerRoman"/>
      <w:pStyle w:val="Heading7"/>
      <w:lvlText w:val="(%7)"/>
      <w:lvlJc w:val="left"/>
      <w:pPr>
        <w:ind w:left="4320" w:firstLine="0"/>
      </w:pPr>
    </w:lvl>
    <w:lvl w:ilvl="7" w:tplc="A5B46792">
      <w:start w:val="1"/>
      <w:numFmt w:val="lowerLetter"/>
      <w:pStyle w:val="Heading8"/>
      <w:lvlText w:val="(%8)"/>
      <w:lvlJc w:val="left"/>
      <w:pPr>
        <w:ind w:left="5040" w:firstLine="0"/>
      </w:pPr>
    </w:lvl>
    <w:lvl w:ilvl="8" w:tplc="C8E81890">
      <w:start w:val="1"/>
      <w:numFmt w:val="lowerRoman"/>
      <w:pStyle w:val="Heading9"/>
      <w:lvlText w:val="(%9)"/>
      <w:lvlJc w:val="left"/>
      <w:pPr>
        <w:ind w:left="5760" w:firstLine="0"/>
      </w:pPr>
    </w:lvl>
  </w:abstractNum>
  <w:abstractNum w:abstractNumId="1" w15:restartNumberingAfterBreak="0">
    <w:nsid w:val="254A4979"/>
    <w:multiLevelType w:val="hybridMultilevel"/>
    <w:tmpl w:val="C08A1D90"/>
    <w:lvl w:ilvl="0" w:tplc="64801A1E">
      <w:start w:val="1"/>
      <w:numFmt w:val="decimal"/>
      <w:lvlText w:val="%1)"/>
      <w:lvlJc w:val="left"/>
      <w:pPr>
        <w:ind w:left="1020" w:hanging="360"/>
      </w:pPr>
    </w:lvl>
    <w:lvl w:ilvl="1" w:tplc="76F65FFA">
      <w:start w:val="1"/>
      <w:numFmt w:val="decimal"/>
      <w:lvlText w:val="%2)"/>
      <w:lvlJc w:val="left"/>
      <w:pPr>
        <w:ind w:left="1020" w:hanging="360"/>
      </w:pPr>
    </w:lvl>
    <w:lvl w:ilvl="2" w:tplc="64D80C84">
      <w:start w:val="1"/>
      <w:numFmt w:val="decimal"/>
      <w:lvlText w:val="%3)"/>
      <w:lvlJc w:val="left"/>
      <w:pPr>
        <w:ind w:left="1020" w:hanging="360"/>
      </w:pPr>
    </w:lvl>
    <w:lvl w:ilvl="3" w:tplc="966C2C3E">
      <w:start w:val="1"/>
      <w:numFmt w:val="decimal"/>
      <w:lvlText w:val="%4)"/>
      <w:lvlJc w:val="left"/>
      <w:pPr>
        <w:ind w:left="1020" w:hanging="360"/>
      </w:pPr>
    </w:lvl>
    <w:lvl w:ilvl="4" w:tplc="BC72DF88">
      <w:start w:val="1"/>
      <w:numFmt w:val="decimal"/>
      <w:lvlText w:val="%5)"/>
      <w:lvlJc w:val="left"/>
      <w:pPr>
        <w:ind w:left="1020" w:hanging="360"/>
      </w:pPr>
    </w:lvl>
    <w:lvl w:ilvl="5" w:tplc="1DD86530">
      <w:start w:val="1"/>
      <w:numFmt w:val="decimal"/>
      <w:lvlText w:val="%6)"/>
      <w:lvlJc w:val="left"/>
      <w:pPr>
        <w:ind w:left="1020" w:hanging="360"/>
      </w:pPr>
    </w:lvl>
    <w:lvl w:ilvl="6" w:tplc="38C42226">
      <w:start w:val="1"/>
      <w:numFmt w:val="decimal"/>
      <w:lvlText w:val="%7)"/>
      <w:lvlJc w:val="left"/>
      <w:pPr>
        <w:ind w:left="1020" w:hanging="360"/>
      </w:pPr>
    </w:lvl>
    <w:lvl w:ilvl="7" w:tplc="5A54D938">
      <w:start w:val="1"/>
      <w:numFmt w:val="decimal"/>
      <w:lvlText w:val="%8)"/>
      <w:lvlJc w:val="left"/>
      <w:pPr>
        <w:ind w:left="1020" w:hanging="360"/>
      </w:pPr>
    </w:lvl>
    <w:lvl w:ilvl="8" w:tplc="E19EFAC6">
      <w:start w:val="1"/>
      <w:numFmt w:val="decimal"/>
      <w:lvlText w:val="%9)"/>
      <w:lvlJc w:val="left"/>
      <w:pPr>
        <w:ind w:left="1020" w:hanging="360"/>
      </w:pPr>
    </w:lvl>
  </w:abstractNum>
  <w:abstractNum w:abstractNumId="2" w15:restartNumberingAfterBreak="0">
    <w:nsid w:val="5B8B1C3A"/>
    <w:multiLevelType w:val="hybridMultilevel"/>
    <w:tmpl w:val="38881F66"/>
    <w:lvl w:ilvl="0" w:tplc="D750B0C8">
      <w:start w:val="1"/>
      <w:numFmt w:val="decimal"/>
      <w:lvlText w:val="%1)"/>
      <w:lvlJc w:val="left"/>
      <w:pPr>
        <w:ind w:left="1020" w:hanging="360"/>
      </w:pPr>
    </w:lvl>
    <w:lvl w:ilvl="1" w:tplc="93ACAFDA">
      <w:start w:val="1"/>
      <w:numFmt w:val="decimal"/>
      <w:lvlText w:val="%2)"/>
      <w:lvlJc w:val="left"/>
      <w:pPr>
        <w:ind w:left="1020" w:hanging="360"/>
      </w:pPr>
    </w:lvl>
    <w:lvl w:ilvl="2" w:tplc="CAC68740">
      <w:start w:val="1"/>
      <w:numFmt w:val="decimal"/>
      <w:lvlText w:val="%3)"/>
      <w:lvlJc w:val="left"/>
      <w:pPr>
        <w:ind w:left="1020" w:hanging="360"/>
      </w:pPr>
    </w:lvl>
    <w:lvl w:ilvl="3" w:tplc="03342FCA">
      <w:start w:val="1"/>
      <w:numFmt w:val="decimal"/>
      <w:lvlText w:val="%4)"/>
      <w:lvlJc w:val="left"/>
      <w:pPr>
        <w:ind w:left="1020" w:hanging="360"/>
      </w:pPr>
    </w:lvl>
    <w:lvl w:ilvl="4" w:tplc="A1244CD6">
      <w:start w:val="1"/>
      <w:numFmt w:val="decimal"/>
      <w:lvlText w:val="%5)"/>
      <w:lvlJc w:val="left"/>
      <w:pPr>
        <w:ind w:left="1020" w:hanging="360"/>
      </w:pPr>
    </w:lvl>
    <w:lvl w:ilvl="5" w:tplc="20F01780">
      <w:start w:val="1"/>
      <w:numFmt w:val="decimal"/>
      <w:lvlText w:val="%6)"/>
      <w:lvlJc w:val="left"/>
      <w:pPr>
        <w:ind w:left="1020" w:hanging="360"/>
      </w:pPr>
    </w:lvl>
    <w:lvl w:ilvl="6" w:tplc="0F02FD44">
      <w:start w:val="1"/>
      <w:numFmt w:val="decimal"/>
      <w:lvlText w:val="%7)"/>
      <w:lvlJc w:val="left"/>
      <w:pPr>
        <w:ind w:left="1020" w:hanging="360"/>
      </w:pPr>
    </w:lvl>
    <w:lvl w:ilvl="7" w:tplc="C706B68E">
      <w:start w:val="1"/>
      <w:numFmt w:val="decimal"/>
      <w:lvlText w:val="%8)"/>
      <w:lvlJc w:val="left"/>
      <w:pPr>
        <w:ind w:left="1020" w:hanging="360"/>
      </w:pPr>
    </w:lvl>
    <w:lvl w:ilvl="8" w:tplc="E9A03024">
      <w:start w:val="1"/>
      <w:numFmt w:val="decimal"/>
      <w:lvlText w:val="%9)"/>
      <w:lvlJc w:val="left"/>
      <w:pPr>
        <w:ind w:left="1020" w:hanging="360"/>
      </w:pPr>
    </w:lvl>
  </w:abstractNum>
  <w:abstractNum w:abstractNumId="3" w15:restartNumberingAfterBreak="0">
    <w:nsid w:val="5CCF30B9"/>
    <w:multiLevelType w:val="hybridMultilevel"/>
    <w:tmpl w:val="D4F43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BFE0924"/>
    <w:multiLevelType w:val="hybridMultilevel"/>
    <w:tmpl w:val="D6122B3E"/>
    <w:lvl w:ilvl="0" w:tplc="4B741EE4">
      <w:start w:val="1"/>
      <w:numFmt w:val="decimal"/>
      <w:lvlText w:val="%1)"/>
      <w:lvlJc w:val="left"/>
      <w:pPr>
        <w:ind w:left="1020" w:hanging="360"/>
      </w:pPr>
    </w:lvl>
    <w:lvl w:ilvl="1" w:tplc="7A2078CA">
      <w:start w:val="1"/>
      <w:numFmt w:val="decimal"/>
      <w:lvlText w:val="%2)"/>
      <w:lvlJc w:val="left"/>
      <w:pPr>
        <w:ind w:left="1020" w:hanging="360"/>
      </w:pPr>
    </w:lvl>
    <w:lvl w:ilvl="2" w:tplc="401E10C6">
      <w:start w:val="1"/>
      <w:numFmt w:val="decimal"/>
      <w:lvlText w:val="%3)"/>
      <w:lvlJc w:val="left"/>
      <w:pPr>
        <w:ind w:left="1020" w:hanging="360"/>
      </w:pPr>
    </w:lvl>
    <w:lvl w:ilvl="3" w:tplc="CEEE3702">
      <w:start w:val="1"/>
      <w:numFmt w:val="decimal"/>
      <w:lvlText w:val="%4)"/>
      <w:lvlJc w:val="left"/>
      <w:pPr>
        <w:ind w:left="1020" w:hanging="360"/>
      </w:pPr>
    </w:lvl>
    <w:lvl w:ilvl="4" w:tplc="CBD2C52C">
      <w:start w:val="1"/>
      <w:numFmt w:val="decimal"/>
      <w:lvlText w:val="%5)"/>
      <w:lvlJc w:val="left"/>
      <w:pPr>
        <w:ind w:left="1020" w:hanging="360"/>
      </w:pPr>
    </w:lvl>
    <w:lvl w:ilvl="5" w:tplc="D436DD4E">
      <w:start w:val="1"/>
      <w:numFmt w:val="decimal"/>
      <w:lvlText w:val="%6)"/>
      <w:lvlJc w:val="left"/>
      <w:pPr>
        <w:ind w:left="1020" w:hanging="360"/>
      </w:pPr>
    </w:lvl>
    <w:lvl w:ilvl="6" w:tplc="AA40F832">
      <w:start w:val="1"/>
      <w:numFmt w:val="decimal"/>
      <w:lvlText w:val="%7)"/>
      <w:lvlJc w:val="left"/>
      <w:pPr>
        <w:ind w:left="1020" w:hanging="360"/>
      </w:pPr>
    </w:lvl>
    <w:lvl w:ilvl="7" w:tplc="47A4B986">
      <w:start w:val="1"/>
      <w:numFmt w:val="decimal"/>
      <w:lvlText w:val="%8)"/>
      <w:lvlJc w:val="left"/>
      <w:pPr>
        <w:ind w:left="1020" w:hanging="360"/>
      </w:pPr>
    </w:lvl>
    <w:lvl w:ilvl="8" w:tplc="CBD8A88E">
      <w:start w:val="1"/>
      <w:numFmt w:val="decimal"/>
      <w:lvlText w:val="%9)"/>
      <w:lvlJc w:val="left"/>
      <w:pPr>
        <w:ind w:left="1020" w:hanging="360"/>
      </w:pPr>
    </w:lvl>
  </w:abstractNum>
  <w:num w:numId="1" w16cid:durableId="37046770">
    <w:abstractNumId w:val="0"/>
  </w:num>
  <w:num w:numId="2" w16cid:durableId="1787889076">
    <w:abstractNumId w:val="4"/>
  </w:num>
  <w:num w:numId="3" w16cid:durableId="520705643">
    <w:abstractNumId w:val="2"/>
  </w:num>
  <w:num w:numId="4" w16cid:durableId="14045898">
    <w:abstractNumId w:val="1"/>
  </w:num>
  <w:num w:numId="5" w16cid:durableId="1917854851">
    <w:abstractNumId w:val="3"/>
  </w:num>
  <w:num w:numId="6" w16cid:durableId="1321273382">
    <w:abstractNumId w:val="0"/>
  </w:num>
  <w:num w:numId="7" w16cid:durableId="842012554">
    <w:abstractNumId w:val="0"/>
  </w:num>
  <w:num w:numId="8" w16cid:durableId="1634098582">
    <w:abstractNumId w:val="0"/>
  </w:num>
  <w:num w:numId="9" w16cid:durableId="1365865806">
    <w:abstractNumId w:val="0"/>
  </w:num>
  <w:num w:numId="10" w16cid:durableId="1730609655">
    <w:abstractNumId w:val="0"/>
  </w:num>
  <w:num w:numId="11" w16cid:durableId="951742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638"/>
    <w:rsid w:val="00005638"/>
    <w:rsid w:val="00011FF2"/>
    <w:rsid w:val="0002671A"/>
    <w:rsid w:val="0004440E"/>
    <w:rsid w:val="0005144D"/>
    <w:rsid w:val="00063E4C"/>
    <w:rsid w:val="000A3217"/>
    <w:rsid w:val="000F741E"/>
    <w:rsid w:val="00122530"/>
    <w:rsid w:val="001312EB"/>
    <w:rsid w:val="00170BFE"/>
    <w:rsid w:val="00174DC2"/>
    <w:rsid w:val="001806C5"/>
    <w:rsid w:val="00182B6F"/>
    <w:rsid w:val="00195A3B"/>
    <w:rsid w:val="001975A9"/>
    <w:rsid w:val="002241C4"/>
    <w:rsid w:val="00227B62"/>
    <w:rsid w:val="002331A6"/>
    <w:rsid w:val="00245C99"/>
    <w:rsid w:val="00256AF5"/>
    <w:rsid w:val="002851BC"/>
    <w:rsid w:val="0029289B"/>
    <w:rsid w:val="00292AA2"/>
    <w:rsid w:val="00294614"/>
    <w:rsid w:val="002979DB"/>
    <w:rsid w:val="002B5C73"/>
    <w:rsid w:val="002F2F1E"/>
    <w:rsid w:val="00323E93"/>
    <w:rsid w:val="00357DF3"/>
    <w:rsid w:val="003841A6"/>
    <w:rsid w:val="00393498"/>
    <w:rsid w:val="003A3A2E"/>
    <w:rsid w:val="003C02FD"/>
    <w:rsid w:val="003C0DFE"/>
    <w:rsid w:val="003F0777"/>
    <w:rsid w:val="003F67A4"/>
    <w:rsid w:val="00422172"/>
    <w:rsid w:val="00440DA0"/>
    <w:rsid w:val="0044629A"/>
    <w:rsid w:val="00467EE3"/>
    <w:rsid w:val="004A59D4"/>
    <w:rsid w:val="004F0FE8"/>
    <w:rsid w:val="004F1A9A"/>
    <w:rsid w:val="004F2A14"/>
    <w:rsid w:val="004F5502"/>
    <w:rsid w:val="004F6870"/>
    <w:rsid w:val="005009EC"/>
    <w:rsid w:val="005175A4"/>
    <w:rsid w:val="00557AA3"/>
    <w:rsid w:val="00566564"/>
    <w:rsid w:val="00591CFB"/>
    <w:rsid w:val="005A005C"/>
    <w:rsid w:val="005A0BC8"/>
    <w:rsid w:val="005A3107"/>
    <w:rsid w:val="005B374D"/>
    <w:rsid w:val="005B73E6"/>
    <w:rsid w:val="005C5F20"/>
    <w:rsid w:val="005D110D"/>
    <w:rsid w:val="005F27BB"/>
    <w:rsid w:val="005F692D"/>
    <w:rsid w:val="006026D0"/>
    <w:rsid w:val="0064223C"/>
    <w:rsid w:val="00661C56"/>
    <w:rsid w:val="00664C14"/>
    <w:rsid w:val="006848D8"/>
    <w:rsid w:val="006B22BC"/>
    <w:rsid w:val="006B6CC8"/>
    <w:rsid w:val="00703E8C"/>
    <w:rsid w:val="00727CAB"/>
    <w:rsid w:val="007346C6"/>
    <w:rsid w:val="007435DC"/>
    <w:rsid w:val="0074769B"/>
    <w:rsid w:val="00777752"/>
    <w:rsid w:val="007921DC"/>
    <w:rsid w:val="007E1542"/>
    <w:rsid w:val="007E4F7C"/>
    <w:rsid w:val="007F0B5F"/>
    <w:rsid w:val="007F2BD8"/>
    <w:rsid w:val="00812DB5"/>
    <w:rsid w:val="008372BF"/>
    <w:rsid w:val="00866BD7"/>
    <w:rsid w:val="0087548C"/>
    <w:rsid w:val="00877E5B"/>
    <w:rsid w:val="0088455B"/>
    <w:rsid w:val="008A490E"/>
    <w:rsid w:val="008B1AB5"/>
    <w:rsid w:val="008B7DC5"/>
    <w:rsid w:val="008C45C8"/>
    <w:rsid w:val="008E46DE"/>
    <w:rsid w:val="008F027F"/>
    <w:rsid w:val="008F4570"/>
    <w:rsid w:val="008F65DD"/>
    <w:rsid w:val="00910042"/>
    <w:rsid w:val="00923DA8"/>
    <w:rsid w:val="00936161"/>
    <w:rsid w:val="009806E9"/>
    <w:rsid w:val="009837C6"/>
    <w:rsid w:val="00984ED8"/>
    <w:rsid w:val="0098758F"/>
    <w:rsid w:val="00987D09"/>
    <w:rsid w:val="009A38EF"/>
    <w:rsid w:val="009C0E99"/>
    <w:rsid w:val="009C448F"/>
    <w:rsid w:val="009D2DBF"/>
    <w:rsid w:val="009F4DDA"/>
    <w:rsid w:val="00A13EEF"/>
    <w:rsid w:val="00A20F55"/>
    <w:rsid w:val="00A675A4"/>
    <w:rsid w:val="00A85FC5"/>
    <w:rsid w:val="00A96975"/>
    <w:rsid w:val="00AA2410"/>
    <w:rsid w:val="00AB517C"/>
    <w:rsid w:val="00AC1E15"/>
    <w:rsid w:val="00AE46AA"/>
    <w:rsid w:val="00B07C3D"/>
    <w:rsid w:val="00B11C35"/>
    <w:rsid w:val="00B2127D"/>
    <w:rsid w:val="00B43DB3"/>
    <w:rsid w:val="00B57132"/>
    <w:rsid w:val="00B60CDB"/>
    <w:rsid w:val="00B620FB"/>
    <w:rsid w:val="00B75834"/>
    <w:rsid w:val="00B7589A"/>
    <w:rsid w:val="00BA0625"/>
    <w:rsid w:val="00BA323D"/>
    <w:rsid w:val="00BB0B69"/>
    <w:rsid w:val="00BB4CEB"/>
    <w:rsid w:val="00BC5797"/>
    <w:rsid w:val="00BE2DA8"/>
    <w:rsid w:val="00C042D9"/>
    <w:rsid w:val="00C17E87"/>
    <w:rsid w:val="00C25E46"/>
    <w:rsid w:val="00C628BA"/>
    <w:rsid w:val="00C72BAE"/>
    <w:rsid w:val="00CB6AA1"/>
    <w:rsid w:val="00CD0602"/>
    <w:rsid w:val="00D107B4"/>
    <w:rsid w:val="00D23A9F"/>
    <w:rsid w:val="00D30008"/>
    <w:rsid w:val="00D40BDC"/>
    <w:rsid w:val="00D41FDD"/>
    <w:rsid w:val="00D61767"/>
    <w:rsid w:val="00D72DC6"/>
    <w:rsid w:val="00D7608D"/>
    <w:rsid w:val="00DC0CCE"/>
    <w:rsid w:val="00DD32DE"/>
    <w:rsid w:val="00DD48CF"/>
    <w:rsid w:val="00DD594A"/>
    <w:rsid w:val="00DF2DF7"/>
    <w:rsid w:val="00E05E80"/>
    <w:rsid w:val="00E34AA4"/>
    <w:rsid w:val="00E35B30"/>
    <w:rsid w:val="00E433AE"/>
    <w:rsid w:val="00E473A9"/>
    <w:rsid w:val="00E60D83"/>
    <w:rsid w:val="00E60EFC"/>
    <w:rsid w:val="00E6773E"/>
    <w:rsid w:val="00E94C05"/>
    <w:rsid w:val="00E96162"/>
    <w:rsid w:val="00EA0E71"/>
    <w:rsid w:val="00EA1327"/>
    <w:rsid w:val="00ED2FA0"/>
    <w:rsid w:val="00F039C1"/>
    <w:rsid w:val="00F117AE"/>
    <w:rsid w:val="00F24099"/>
    <w:rsid w:val="00F33757"/>
    <w:rsid w:val="00F45804"/>
    <w:rsid w:val="00FA2A5D"/>
    <w:rsid w:val="00FA2FCD"/>
    <w:rsid w:val="00FB4677"/>
    <w:rsid w:val="00FC3A82"/>
    <w:rsid w:val="00FC534A"/>
    <w:rsid w:val="00FD6DAB"/>
    <w:rsid w:val="099DEBB5"/>
    <w:rsid w:val="11DC0BF1"/>
    <w:rsid w:val="186ECDB8"/>
    <w:rsid w:val="1BCE92B3"/>
    <w:rsid w:val="30F4D805"/>
    <w:rsid w:val="3708F173"/>
    <w:rsid w:val="3905111F"/>
    <w:rsid w:val="3DA05D29"/>
    <w:rsid w:val="462A643F"/>
    <w:rsid w:val="4DBF9A59"/>
    <w:rsid w:val="5D0631D9"/>
    <w:rsid w:val="607A57FE"/>
    <w:rsid w:val="6923629F"/>
    <w:rsid w:val="6AC2FEA5"/>
    <w:rsid w:val="6B0BA50B"/>
    <w:rsid w:val="713A279A"/>
    <w:rsid w:val="79503E0F"/>
    <w:rsid w:val="7959FBB3"/>
    <w:rsid w:val="7A1DEC6E"/>
    <w:rsid w:val="7C6B30D2"/>
    <w:rsid w:val="7DD70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B95E9"/>
  <w15:chartTrackingRefBased/>
  <w15:docId w15:val="{9F38275F-8655-492A-9B8C-17EC423A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5638"/>
    <w:pPr>
      <w:spacing w:after="200" w:line="276" w:lineRule="auto"/>
    </w:pPr>
  </w:style>
  <w:style w:type="paragraph" w:styleId="Heading1">
    <w:name w:val="heading 1"/>
    <w:basedOn w:val="Normal"/>
    <w:next w:val="Normal"/>
    <w:link w:val="Heading1Char"/>
    <w:uiPriority w:val="9"/>
    <w:qFormat/>
    <w:rsid w:val="00005638"/>
    <w:pPr>
      <w:keepNext/>
      <w:keepLines/>
      <w:numPr>
        <w:numId w:val="1"/>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638"/>
    <w:pPr>
      <w:keepNext/>
      <w:keepLines/>
      <w:numPr>
        <w:ilvl w:val="1"/>
        <w:numId w:val="1"/>
      </w:numPr>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5638"/>
    <w:pPr>
      <w:keepNext/>
      <w:keepLines/>
      <w:numPr>
        <w:ilvl w:val="2"/>
        <w:numId w:val="1"/>
      </w:numPr>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05638"/>
    <w:pPr>
      <w:keepNext/>
      <w:keepLines/>
      <w:numPr>
        <w:ilvl w:val="3"/>
        <w:numId w:val="1"/>
      </w:numPr>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005638"/>
    <w:pPr>
      <w:keepNext/>
      <w:keepLines/>
      <w:numPr>
        <w:ilvl w:val="4"/>
        <w:numId w:val="1"/>
      </w:numPr>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005638"/>
    <w:pPr>
      <w:keepNext/>
      <w:keepLines/>
      <w:numPr>
        <w:ilvl w:val="5"/>
        <w:numId w:val="1"/>
      </w:numPr>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005638"/>
    <w:pPr>
      <w:keepNext/>
      <w:keepLines/>
      <w:numPr>
        <w:ilvl w:val="6"/>
        <w:numId w:val="1"/>
      </w:numPr>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005638"/>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05638"/>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05638"/>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005638"/>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005638"/>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rsid w:val="00005638"/>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rsid w:val="00005638"/>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rsid w:val="00005638"/>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005638"/>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00563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005638"/>
    <w:rPr>
      <w:rFonts w:asciiTheme="majorHAnsi" w:hAnsiTheme="majorHAnsi" w:eastAsiaTheme="majorEastAsia" w:cstheme="majorBidi"/>
      <w:i/>
      <w:iCs/>
      <w:color w:val="272727" w:themeColor="text1" w:themeTint="D8"/>
      <w:sz w:val="21"/>
      <w:szCs w:val="21"/>
    </w:rPr>
  </w:style>
  <w:style w:type="paragraph" w:styleId="ListParagraph">
    <w:name w:val="List Paragraph"/>
    <w:basedOn w:val="Normal"/>
    <w:uiPriority w:val="34"/>
    <w:qFormat/>
    <w:rsid w:val="00005638"/>
    <w:pPr>
      <w:ind w:left="720"/>
      <w:contextualSpacing/>
    </w:pPr>
  </w:style>
  <w:style w:type="paragraph" w:styleId="Header">
    <w:name w:val="header"/>
    <w:basedOn w:val="Normal"/>
    <w:link w:val="HeaderChar"/>
    <w:uiPriority w:val="99"/>
    <w:unhideWhenUsed/>
    <w:rsid w:val="00005638"/>
    <w:pPr>
      <w:tabs>
        <w:tab w:val="center" w:pos="4680"/>
        <w:tab w:val="right" w:pos="9360"/>
      </w:tabs>
      <w:spacing w:after="0"/>
    </w:pPr>
  </w:style>
  <w:style w:type="character" w:styleId="HeaderChar" w:customStyle="1">
    <w:name w:val="Header Char"/>
    <w:basedOn w:val="DefaultParagraphFont"/>
    <w:link w:val="Header"/>
    <w:uiPriority w:val="99"/>
    <w:rsid w:val="00005638"/>
  </w:style>
  <w:style w:type="paragraph" w:styleId="Revision">
    <w:name w:val="Revision"/>
    <w:hidden/>
    <w:uiPriority w:val="99"/>
    <w:semiHidden/>
    <w:rsid w:val="00005638"/>
    <w:pPr>
      <w:spacing w:after="0" w:line="240" w:lineRule="auto"/>
    </w:pPr>
  </w:style>
  <w:style w:type="character" w:styleId="CommentReference">
    <w:name w:val="annotation reference"/>
    <w:basedOn w:val="DefaultParagraphFont"/>
    <w:uiPriority w:val="99"/>
    <w:semiHidden/>
    <w:unhideWhenUsed/>
    <w:rsid w:val="00005638"/>
    <w:rPr>
      <w:sz w:val="16"/>
      <w:szCs w:val="16"/>
    </w:rPr>
  </w:style>
  <w:style w:type="paragraph" w:styleId="CommentText">
    <w:name w:val="annotation text"/>
    <w:basedOn w:val="Normal"/>
    <w:link w:val="CommentTextChar"/>
    <w:uiPriority w:val="99"/>
    <w:unhideWhenUsed/>
    <w:rsid w:val="00005638"/>
    <w:pPr>
      <w:spacing w:line="240" w:lineRule="auto"/>
    </w:pPr>
    <w:rPr>
      <w:sz w:val="20"/>
      <w:szCs w:val="20"/>
    </w:rPr>
  </w:style>
  <w:style w:type="character" w:styleId="CommentTextChar" w:customStyle="1">
    <w:name w:val="Comment Text Char"/>
    <w:basedOn w:val="DefaultParagraphFont"/>
    <w:link w:val="CommentText"/>
    <w:uiPriority w:val="99"/>
    <w:rsid w:val="00005638"/>
    <w:rPr>
      <w:sz w:val="20"/>
      <w:szCs w:val="20"/>
    </w:rPr>
  </w:style>
  <w:style w:type="paragraph" w:styleId="CommentSubject">
    <w:name w:val="annotation subject"/>
    <w:basedOn w:val="CommentText"/>
    <w:next w:val="CommentText"/>
    <w:link w:val="CommentSubjectChar"/>
    <w:uiPriority w:val="99"/>
    <w:semiHidden/>
    <w:unhideWhenUsed/>
    <w:rsid w:val="00005638"/>
    <w:rPr>
      <w:b/>
      <w:bCs/>
    </w:rPr>
  </w:style>
  <w:style w:type="character" w:styleId="CommentSubjectChar" w:customStyle="1">
    <w:name w:val="Comment Subject Char"/>
    <w:basedOn w:val="CommentTextChar"/>
    <w:link w:val="CommentSubject"/>
    <w:uiPriority w:val="99"/>
    <w:semiHidden/>
    <w:rsid w:val="00005638"/>
    <w:rPr>
      <w:b/>
      <w:bCs/>
      <w:sz w:val="20"/>
      <w:szCs w:val="20"/>
    </w:rPr>
  </w:style>
  <w:style w:type="character" w:styleId="cf01" w:customStyle="1">
    <w:name w:val="cf01"/>
    <w:basedOn w:val="DefaultParagraphFont"/>
    <w:rsid w:val="00C25E46"/>
    <w:rPr>
      <w:rFonts w:hint="default" w:ascii="Segoe UI" w:hAnsi="Segoe UI" w:cs="Segoe UI"/>
      <w:sz w:val="18"/>
      <w:szCs w:val="18"/>
    </w:rPr>
  </w:style>
  <w:style w:type="paragraph" w:styleId="Footer">
    <w:name w:val="footer"/>
    <w:basedOn w:val="Normal"/>
    <w:link w:val="FooterChar"/>
    <w:uiPriority w:val="99"/>
    <w:unhideWhenUsed/>
    <w:rsid w:val="00182B6F"/>
    <w:pPr>
      <w:tabs>
        <w:tab w:val="center" w:pos="4680"/>
        <w:tab w:val="right" w:pos="9360"/>
      </w:tabs>
      <w:spacing w:after="0" w:line="240" w:lineRule="auto"/>
    </w:pPr>
  </w:style>
  <w:style w:type="character" w:styleId="FooterChar" w:customStyle="1">
    <w:name w:val="Footer Char"/>
    <w:basedOn w:val="DefaultParagraphFont"/>
    <w:link w:val="Footer"/>
    <w:uiPriority w:val="99"/>
    <w:rsid w:val="00182B6F"/>
  </w:style>
  <w:style w:type="character" w:styleId="Hyperlink">
    <w:name w:val="Hyperlink"/>
    <w:basedOn w:val="DefaultParagraphFont"/>
    <w:uiPriority w:val="99"/>
    <w:unhideWhenUsed/>
    <w:rsid w:val="009F4DDA"/>
    <w:rPr>
      <w:color w:val="0563C1" w:themeColor="hyperlink"/>
      <w:u w:val="single"/>
    </w:rPr>
  </w:style>
  <w:style w:type="character" w:styleId="UnresolvedMention">
    <w:name w:val="Unresolved Mention"/>
    <w:basedOn w:val="DefaultParagraphFont"/>
    <w:uiPriority w:val="99"/>
    <w:semiHidden/>
    <w:unhideWhenUsed/>
    <w:rsid w:val="009F4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1D28C-3965-4E84-87A4-4C6915F178B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Bena Chang</dc:creator>
  <keywords/>
  <dc:description/>
  <lastModifiedBy>Britta Bradshaw</lastModifiedBy>
  <revision>3</revision>
  <lastPrinted>2025-02-21T00:44:00.0000000Z</lastPrinted>
  <dcterms:created xsi:type="dcterms:W3CDTF">2025-05-21T23:09:00.0000000Z</dcterms:created>
  <dcterms:modified xsi:type="dcterms:W3CDTF">2025-05-22T02:01:50.3198148Z</dcterms:modified>
</coreProperties>
</file>